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B2E3A" w14:textId="5E11045B" w:rsidR="00861EA5" w:rsidRPr="008009F9" w:rsidRDefault="004B1F92" w:rsidP="00861EA5">
      <w:pPr>
        <w:autoSpaceDE w:val="0"/>
        <w:autoSpaceDN w:val="0"/>
        <w:adjustRightInd w:val="0"/>
        <w:spacing w:after="0" w:line="240" w:lineRule="auto"/>
        <w:rPr>
          <w:rFonts w:cs="Frutiger-Roman"/>
          <w:b/>
          <w:sz w:val="24"/>
          <w:szCs w:val="24"/>
        </w:rPr>
      </w:pPr>
      <w:r>
        <w:rPr>
          <w:b/>
          <w:sz w:val="24"/>
          <w:szCs w:val="24"/>
        </w:rPr>
        <w:t xml:space="preserve">GPP </w:t>
      </w:r>
      <w:r w:rsidR="008009F9" w:rsidRPr="008009F9">
        <w:rPr>
          <w:b/>
          <w:sz w:val="24"/>
          <w:szCs w:val="24"/>
        </w:rPr>
        <w:t xml:space="preserve">Case </w:t>
      </w:r>
      <w:r w:rsidR="00861EA5" w:rsidRPr="008009F9">
        <w:rPr>
          <w:b/>
          <w:sz w:val="24"/>
          <w:szCs w:val="24"/>
        </w:rPr>
        <w:t>Study</w:t>
      </w:r>
      <w:r w:rsidR="008009F9" w:rsidRPr="008009F9">
        <w:rPr>
          <w:b/>
          <w:sz w:val="24"/>
          <w:szCs w:val="24"/>
        </w:rPr>
        <w:t>:</w:t>
      </w:r>
      <w:r w:rsidR="00861EA5" w:rsidRPr="008009F9">
        <w:rPr>
          <w:b/>
          <w:sz w:val="24"/>
          <w:szCs w:val="24"/>
        </w:rPr>
        <w:t xml:space="preserve"> </w:t>
      </w:r>
      <w:r w:rsidRPr="009753AB">
        <w:rPr>
          <w:rFonts w:cs="Frutiger-Roman"/>
          <w:sz w:val="24"/>
          <w:szCs w:val="24"/>
        </w:rPr>
        <w:t xml:space="preserve">Bangkok Tenofovir </w:t>
      </w:r>
      <w:r>
        <w:rPr>
          <w:rFonts w:cs="Frutiger-Roman"/>
          <w:sz w:val="24"/>
          <w:szCs w:val="24"/>
        </w:rPr>
        <w:t>Study (BTS)</w:t>
      </w:r>
    </w:p>
    <w:p w14:paraId="36C9379E" w14:textId="77777777" w:rsidR="00861EA5" w:rsidRDefault="00861EA5" w:rsidP="00861EA5">
      <w:pPr>
        <w:autoSpaceDE w:val="0"/>
        <w:autoSpaceDN w:val="0"/>
        <w:adjustRightInd w:val="0"/>
        <w:spacing w:after="0" w:line="240" w:lineRule="auto"/>
        <w:rPr>
          <w:rFonts w:cs="Frutiger-Roman"/>
          <w:sz w:val="24"/>
          <w:szCs w:val="24"/>
        </w:rPr>
      </w:pPr>
    </w:p>
    <w:p w14:paraId="7F803E5F" w14:textId="317AF9ED" w:rsidR="00861EA5" w:rsidRPr="00E10A16" w:rsidRDefault="004B1F92" w:rsidP="00861EA5">
      <w:pPr>
        <w:autoSpaceDE w:val="0"/>
        <w:autoSpaceDN w:val="0"/>
        <w:adjustRightInd w:val="0"/>
        <w:spacing w:after="0" w:line="240" w:lineRule="auto"/>
        <w:rPr>
          <w:rFonts w:cs="Frutiger-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777DC" wp14:editId="1E5DFB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197421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97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A461288" w14:textId="77777777" w:rsidR="00FB782A" w:rsidRPr="008009F9" w:rsidRDefault="00FB782A" w:rsidP="003D0DC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rutiger-Roman"/>
                                <w:b/>
                                <w:sz w:val="24"/>
                                <w:szCs w:val="24"/>
                              </w:rPr>
                            </w:pPr>
                            <w:r w:rsidRPr="008009F9">
                              <w:rPr>
                                <w:rFonts w:cs="Frutiger-Roman"/>
                                <w:b/>
                                <w:sz w:val="24"/>
                                <w:szCs w:val="24"/>
                              </w:rPr>
                              <w:t>Background</w:t>
                            </w:r>
                          </w:p>
                          <w:p w14:paraId="1CAABDC9" w14:textId="77777777" w:rsidR="00FB782A" w:rsidRDefault="00FB782A" w:rsidP="006332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rutiger-Roman"/>
                                <w:sz w:val="24"/>
                                <w:szCs w:val="24"/>
                              </w:rPr>
                            </w:pPr>
                          </w:p>
                          <w:p w14:paraId="0D41A57B" w14:textId="70E57F30" w:rsidR="00FB782A" w:rsidRDefault="00FB782A" w:rsidP="006332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rutiger-Roman"/>
                                <w:sz w:val="24"/>
                                <w:szCs w:val="24"/>
                              </w:rPr>
                            </w:pPr>
                            <w:r w:rsidRPr="009753AB"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 xml:space="preserve">The Bangkok Tenofovir </w:t>
                            </w:r>
                            <w:r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>Study</w:t>
                            </w:r>
                            <w:r w:rsidRPr="009753AB"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 xml:space="preserve">(BTS) </w:t>
                            </w:r>
                            <w:r w:rsidRPr="009753AB"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>was launched in 2005 to determine if pre-expo</w:t>
                            </w:r>
                            <w:r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 xml:space="preserve">sure prophylaxis (PrEP) with an oral tablet of tenofovir (TDF) </w:t>
                            </w:r>
                            <w:r w:rsidRPr="009753AB"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>ould</w:t>
                            </w:r>
                            <w:r w:rsidRPr="009753AB"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 xml:space="preserve"> reduce the risk of HIV infection among injecting drug users.</w:t>
                            </w:r>
                            <w:r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0A16"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 xml:space="preserve">The primary </w:t>
                            </w:r>
                            <w:r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>trial objectives wer</w:t>
                            </w:r>
                            <w:r w:rsidRPr="00E10A16"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 xml:space="preserve">e to determine if TDF </w:t>
                            </w:r>
                            <w:r w:rsidR="00EE6B93"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>prevented</w:t>
                            </w:r>
                            <w:r w:rsidR="00EE6B93" w:rsidRPr="00E10A16"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0A16"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 xml:space="preserve">HIV infection among </w:t>
                            </w:r>
                            <w:r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>injection drug user</w:t>
                            </w:r>
                            <w:r w:rsidRPr="00E10A16"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 xml:space="preserve">s and whether </w:t>
                            </w:r>
                            <w:r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>it safe in this population. Conducted</w:t>
                            </w:r>
                            <w:r w:rsidRPr="00E10A16"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Pr="00CE4962"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 xml:space="preserve">17 drug treatment </w:t>
                            </w:r>
                            <w:r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 xml:space="preserve">(methadone) </w:t>
                            </w:r>
                            <w:r w:rsidRPr="00CE4962"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>clinics in the Bangkok</w:t>
                            </w:r>
                            <w:r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 xml:space="preserve"> area, t</w:t>
                            </w:r>
                            <w:r w:rsidRPr="00E10A16"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 xml:space="preserve">trial was </w:t>
                            </w:r>
                            <w:r w:rsidRPr="00E10A16"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 xml:space="preserve">sponsored </w:t>
                            </w:r>
                            <w:r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>by the Centers for Disease Control (CDC)</w:t>
                            </w:r>
                            <w:r w:rsidRPr="001F0705"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>, in collaboration with the Bangkok Metropolitan Administration and the Thailand Mi</w:t>
                            </w:r>
                            <w:r>
                              <w:rPr>
                                <w:rFonts w:cs="Frutiger-Roman"/>
                                <w:sz w:val="24"/>
                                <w:szCs w:val="24"/>
                              </w:rPr>
                              <w:t>nistry of Public Health.</w:t>
                            </w:r>
                          </w:p>
                          <w:p w14:paraId="7C46451A" w14:textId="77777777" w:rsidR="00FB782A" w:rsidRPr="00303B6A" w:rsidRDefault="00FB782A" w:rsidP="006332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Frutiger-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68pt;height:155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" filled="f" stroked="f">
                <v:textbox style="mso-fit-shape-to-text:t">
                  <w:txbxContent>
                    <w:p w14:paraId="1A461288" w14:textId="77777777" w:rsidR="00FB782A" w:rsidRPr="008009F9" w:rsidRDefault="00FB782A" w:rsidP="003D0DC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rutiger-Roman"/>
                          <w:b/>
                          <w:sz w:val="24"/>
                          <w:szCs w:val="24"/>
                        </w:rPr>
                      </w:pPr>
                      <w:r w:rsidRPr="008009F9">
                        <w:rPr>
                          <w:rFonts w:cs="Frutiger-Roman"/>
                          <w:b/>
                          <w:sz w:val="24"/>
                          <w:szCs w:val="24"/>
                        </w:rPr>
                        <w:t>Background</w:t>
                      </w:r>
                    </w:p>
                    <w:p w14:paraId="1CAABDC9" w14:textId="77777777" w:rsidR="00FB782A" w:rsidRDefault="00FB782A" w:rsidP="006332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rutiger-Roman"/>
                          <w:sz w:val="24"/>
                          <w:szCs w:val="24"/>
                        </w:rPr>
                      </w:pPr>
                    </w:p>
                    <w:p w14:paraId="0D41A57B" w14:textId="70E57F30" w:rsidR="00FB782A" w:rsidRDefault="00FB782A" w:rsidP="006332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rutiger-Roman"/>
                          <w:sz w:val="24"/>
                          <w:szCs w:val="24"/>
                        </w:rPr>
                      </w:pPr>
                      <w:r w:rsidRPr="009753AB">
                        <w:rPr>
                          <w:rFonts w:cs="Frutiger-Roman"/>
                          <w:sz w:val="24"/>
                          <w:szCs w:val="24"/>
                        </w:rPr>
                        <w:t xml:space="preserve">The Bangkok Tenofovir </w:t>
                      </w:r>
                      <w:r>
                        <w:rPr>
                          <w:rFonts w:cs="Frutiger-Roman"/>
                          <w:sz w:val="24"/>
                          <w:szCs w:val="24"/>
                        </w:rPr>
                        <w:t>Study</w:t>
                      </w:r>
                      <w:r w:rsidRPr="009753AB">
                        <w:rPr>
                          <w:rFonts w:cs="Frutiger-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Frutiger-Roman"/>
                          <w:sz w:val="24"/>
                          <w:szCs w:val="24"/>
                        </w:rPr>
                        <w:t xml:space="preserve">(BTS) </w:t>
                      </w:r>
                      <w:r w:rsidRPr="009753AB">
                        <w:rPr>
                          <w:rFonts w:cs="Frutiger-Roman"/>
                          <w:sz w:val="24"/>
                          <w:szCs w:val="24"/>
                        </w:rPr>
                        <w:t>was launched in 2005 to determine if pre-expo</w:t>
                      </w:r>
                      <w:r>
                        <w:rPr>
                          <w:rFonts w:cs="Frutiger-Roman"/>
                          <w:sz w:val="24"/>
                          <w:szCs w:val="24"/>
                        </w:rPr>
                        <w:t xml:space="preserve">sure prophylaxis (PrEP) with an oral tablet of tenofovir (TDF) </w:t>
                      </w:r>
                      <w:r w:rsidRPr="009753AB">
                        <w:rPr>
                          <w:rFonts w:cs="Frutiger-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cs="Frutiger-Roman"/>
                          <w:sz w:val="24"/>
                          <w:szCs w:val="24"/>
                        </w:rPr>
                        <w:t>ould</w:t>
                      </w:r>
                      <w:r w:rsidRPr="009753AB">
                        <w:rPr>
                          <w:rFonts w:cs="Frutiger-Roman"/>
                          <w:sz w:val="24"/>
                          <w:szCs w:val="24"/>
                        </w:rPr>
                        <w:t xml:space="preserve"> reduce the risk of HIV infection among injecting drug users.</w:t>
                      </w:r>
                      <w:r>
                        <w:rPr>
                          <w:rFonts w:cs="Frutiger-Roman"/>
                          <w:sz w:val="24"/>
                          <w:szCs w:val="24"/>
                        </w:rPr>
                        <w:t xml:space="preserve"> </w:t>
                      </w:r>
                      <w:r w:rsidRPr="00E10A16">
                        <w:rPr>
                          <w:rFonts w:cs="Frutiger-Roman"/>
                          <w:sz w:val="24"/>
                          <w:szCs w:val="24"/>
                        </w:rPr>
                        <w:t xml:space="preserve">The primary </w:t>
                      </w:r>
                      <w:r>
                        <w:rPr>
                          <w:rFonts w:cs="Frutiger-Roman"/>
                          <w:sz w:val="24"/>
                          <w:szCs w:val="24"/>
                        </w:rPr>
                        <w:t>trial objectives wer</w:t>
                      </w:r>
                      <w:r w:rsidRPr="00E10A16">
                        <w:rPr>
                          <w:rFonts w:cs="Frutiger-Roman"/>
                          <w:sz w:val="24"/>
                          <w:szCs w:val="24"/>
                        </w:rPr>
                        <w:t xml:space="preserve">e to determine if TDF </w:t>
                      </w:r>
                      <w:r w:rsidR="00EE6B93">
                        <w:rPr>
                          <w:rFonts w:cs="Frutiger-Roman"/>
                          <w:sz w:val="24"/>
                          <w:szCs w:val="24"/>
                        </w:rPr>
                        <w:t>prevented</w:t>
                      </w:r>
                      <w:r w:rsidR="00EE6B93" w:rsidRPr="00E10A16">
                        <w:rPr>
                          <w:rFonts w:cs="Frutiger-Roman"/>
                          <w:sz w:val="24"/>
                          <w:szCs w:val="24"/>
                        </w:rPr>
                        <w:t xml:space="preserve"> </w:t>
                      </w:r>
                      <w:r w:rsidRPr="00E10A16">
                        <w:rPr>
                          <w:rFonts w:cs="Frutiger-Roman"/>
                          <w:sz w:val="24"/>
                          <w:szCs w:val="24"/>
                        </w:rPr>
                        <w:t xml:space="preserve">HIV infection among </w:t>
                      </w:r>
                      <w:r>
                        <w:rPr>
                          <w:rFonts w:cs="Frutiger-Roman"/>
                          <w:sz w:val="24"/>
                          <w:szCs w:val="24"/>
                        </w:rPr>
                        <w:t>injection drug user</w:t>
                      </w:r>
                      <w:r w:rsidRPr="00E10A16">
                        <w:rPr>
                          <w:rFonts w:cs="Frutiger-Roman"/>
                          <w:sz w:val="24"/>
                          <w:szCs w:val="24"/>
                        </w:rPr>
                        <w:t xml:space="preserve">s and whether </w:t>
                      </w:r>
                      <w:r>
                        <w:rPr>
                          <w:rFonts w:cs="Frutiger-Roman"/>
                          <w:sz w:val="24"/>
                          <w:szCs w:val="24"/>
                        </w:rPr>
                        <w:t>it safe in this population. Conducted</w:t>
                      </w:r>
                      <w:r w:rsidRPr="00E10A16">
                        <w:rPr>
                          <w:rFonts w:cs="Frutiger-Roman"/>
                          <w:sz w:val="24"/>
                          <w:szCs w:val="24"/>
                        </w:rPr>
                        <w:t xml:space="preserve"> in </w:t>
                      </w:r>
                      <w:r w:rsidRPr="00CE4962">
                        <w:rPr>
                          <w:rFonts w:cs="Frutiger-Roman"/>
                          <w:sz w:val="24"/>
                          <w:szCs w:val="24"/>
                        </w:rPr>
                        <w:t xml:space="preserve">17 drug treatment </w:t>
                      </w:r>
                      <w:r>
                        <w:rPr>
                          <w:rFonts w:cs="Frutiger-Roman"/>
                          <w:sz w:val="24"/>
                          <w:szCs w:val="24"/>
                        </w:rPr>
                        <w:t xml:space="preserve">(methadone) </w:t>
                      </w:r>
                      <w:r w:rsidRPr="00CE4962">
                        <w:rPr>
                          <w:rFonts w:cs="Frutiger-Roman"/>
                          <w:sz w:val="24"/>
                          <w:szCs w:val="24"/>
                        </w:rPr>
                        <w:t>clinics in the Bangkok</w:t>
                      </w:r>
                      <w:r>
                        <w:rPr>
                          <w:rFonts w:cs="Frutiger-Roman"/>
                          <w:sz w:val="24"/>
                          <w:szCs w:val="24"/>
                        </w:rPr>
                        <w:t xml:space="preserve"> area, t</w:t>
                      </w:r>
                      <w:r w:rsidRPr="00E10A16">
                        <w:rPr>
                          <w:rFonts w:cs="Frutiger-Roman"/>
                          <w:sz w:val="24"/>
                          <w:szCs w:val="24"/>
                        </w:rPr>
                        <w:t xml:space="preserve">he </w:t>
                      </w:r>
                      <w:r>
                        <w:rPr>
                          <w:rFonts w:cs="Frutiger-Roman"/>
                          <w:sz w:val="24"/>
                          <w:szCs w:val="24"/>
                        </w:rPr>
                        <w:t xml:space="preserve">trial was </w:t>
                      </w:r>
                      <w:r w:rsidRPr="00E10A16">
                        <w:rPr>
                          <w:rFonts w:cs="Frutiger-Roman"/>
                          <w:sz w:val="24"/>
                          <w:szCs w:val="24"/>
                        </w:rPr>
                        <w:t xml:space="preserve">sponsored </w:t>
                      </w:r>
                      <w:r>
                        <w:rPr>
                          <w:rFonts w:cs="Frutiger-Roman"/>
                          <w:sz w:val="24"/>
                          <w:szCs w:val="24"/>
                        </w:rPr>
                        <w:t>by the Centers for Disease Control (CDC)</w:t>
                      </w:r>
                      <w:r w:rsidRPr="001F0705">
                        <w:rPr>
                          <w:rFonts w:cs="Frutiger-Roman"/>
                          <w:sz w:val="24"/>
                          <w:szCs w:val="24"/>
                        </w:rPr>
                        <w:t>, in collaboration with the Bangkok Metropolitan Administration and the Thailand Mi</w:t>
                      </w:r>
                      <w:r>
                        <w:rPr>
                          <w:rFonts w:cs="Frutiger-Roman"/>
                          <w:sz w:val="24"/>
                          <w:szCs w:val="24"/>
                        </w:rPr>
                        <w:t>nistry of Public Health.</w:t>
                      </w:r>
                    </w:p>
                    <w:p w14:paraId="7C46451A" w14:textId="77777777" w:rsidR="00FB782A" w:rsidRPr="00303B6A" w:rsidRDefault="00FB782A" w:rsidP="006332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Frutiger-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E5AF01" w14:textId="69B5780E" w:rsidR="00E10A16" w:rsidRDefault="009753AB" w:rsidP="00CE4962">
      <w:pPr>
        <w:autoSpaceDE w:val="0"/>
        <w:autoSpaceDN w:val="0"/>
        <w:adjustRightInd w:val="0"/>
        <w:spacing w:after="0" w:line="240" w:lineRule="auto"/>
        <w:rPr>
          <w:rFonts w:cs="Frutiger-Roman"/>
          <w:sz w:val="24"/>
          <w:szCs w:val="24"/>
        </w:rPr>
      </w:pPr>
      <w:r w:rsidRPr="002B454E">
        <w:rPr>
          <w:rFonts w:cs="Frutiger-Roman"/>
          <w:sz w:val="24"/>
          <w:szCs w:val="24"/>
        </w:rPr>
        <w:t xml:space="preserve">From June 2005 through July 2010, </w:t>
      </w:r>
      <w:r w:rsidR="0023637E">
        <w:rPr>
          <w:rFonts w:cs="Frutiger-Roman"/>
          <w:sz w:val="24"/>
          <w:szCs w:val="24"/>
        </w:rPr>
        <w:t>more than 2400</w:t>
      </w:r>
      <w:r w:rsidRPr="002B454E">
        <w:rPr>
          <w:rFonts w:cs="Frutiger-Roman"/>
          <w:sz w:val="24"/>
          <w:szCs w:val="24"/>
        </w:rPr>
        <w:t xml:space="preserve"> </w:t>
      </w:r>
      <w:r w:rsidR="0033422E">
        <w:rPr>
          <w:rFonts w:cs="Frutiger-Roman"/>
          <w:sz w:val="24"/>
          <w:szCs w:val="24"/>
        </w:rPr>
        <w:t xml:space="preserve">HIV-negative </w:t>
      </w:r>
      <w:r w:rsidR="004B1F92">
        <w:rPr>
          <w:rFonts w:cs="Frutiger-Roman"/>
          <w:sz w:val="24"/>
          <w:szCs w:val="24"/>
        </w:rPr>
        <w:t xml:space="preserve">male and female </w:t>
      </w:r>
      <w:r w:rsidR="002B454E" w:rsidRPr="002B454E">
        <w:rPr>
          <w:rFonts w:cs="Frutiger-Roman"/>
          <w:sz w:val="24"/>
          <w:szCs w:val="24"/>
        </w:rPr>
        <w:t>injection drug users</w:t>
      </w:r>
      <w:r w:rsidR="004B1F92">
        <w:rPr>
          <w:rFonts w:cs="Frutiger-Roman"/>
          <w:sz w:val="24"/>
          <w:szCs w:val="24"/>
        </w:rPr>
        <w:t xml:space="preserve"> </w:t>
      </w:r>
      <w:r w:rsidR="002B454E" w:rsidRPr="002B454E">
        <w:rPr>
          <w:rFonts w:cs="Frutiger-Roman"/>
          <w:sz w:val="24"/>
          <w:szCs w:val="24"/>
        </w:rPr>
        <w:t xml:space="preserve">were </w:t>
      </w:r>
      <w:r w:rsidRPr="002B454E">
        <w:rPr>
          <w:rFonts w:cs="Frutiger-Roman"/>
          <w:sz w:val="24"/>
          <w:szCs w:val="24"/>
        </w:rPr>
        <w:t xml:space="preserve">enrolled in </w:t>
      </w:r>
      <w:r w:rsidR="004B1F92">
        <w:rPr>
          <w:rFonts w:cs="Frutiger-Roman"/>
          <w:sz w:val="24"/>
          <w:szCs w:val="24"/>
        </w:rPr>
        <w:t>BTS</w:t>
      </w:r>
      <w:r w:rsidRPr="002B454E">
        <w:rPr>
          <w:rFonts w:cs="Frutiger-Roman"/>
          <w:sz w:val="24"/>
          <w:szCs w:val="24"/>
        </w:rPr>
        <w:t xml:space="preserve">. </w:t>
      </w:r>
      <w:r w:rsidR="00CE4962" w:rsidRPr="00CE4962">
        <w:rPr>
          <w:rFonts w:cs="Frutiger-Roman"/>
          <w:sz w:val="24"/>
          <w:szCs w:val="24"/>
        </w:rPr>
        <w:t>Participants were recruited at drug treatment clinics, community outreach sites, and through a peer referral p</w:t>
      </w:r>
      <w:r w:rsidR="00CE4962">
        <w:rPr>
          <w:rFonts w:cs="Frutiger-Roman"/>
          <w:sz w:val="24"/>
          <w:szCs w:val="24"/>
        </w:rPr>
        <w:t>rogram.</w:t>
      </w:r>
      <w:r w:rsidR="0033422E">
        <w:rPr>
          <w:rFonts w:cs="Frutiger-Roman"/>
          <w:sz w:val="24"/>
          <w:szCs w:val="24"/>
        </w:rPr>
        <w:t xml:space="preserve"> </w:t>
      </w:r>
      <w:r w:rsidR="00CE4962" w:rsidRPr="00CE4962">
        <w:rPr>
          <w:rFonts w:cs="Frutiger-Roman"/>
          <w:sz w:val="24"/>
          <w:szCs w:val="24"/>
        </w:rPr>
        <w:t>But</w:t>
      </w:r>
      <w:r w:rsidR="002B454E">
        <w:rPr>
          <w:rFonts w:cs="Frutiger-Roman"/>
          <w:sz w:val="24"/>
          <w:szCs w:val="24"/>
        </w:rPr>
        <w:t xml:space="preserve"> s</w:t>
      </w:r>
      <w:r w:rsidR="002B454E" w:rsidRPr="002B454E">
        <w:rPr>
          <w:rFonts w:cs="Frutiger-Roman"/>
          <w:sz w:val="24"/>
          <w:szCs w:val="24"/>
        </w:rPr>
        <w:t>tarting in 2003</w:t>
      </w:r>
      <w:r w:rsidRPr="002B454E">
        <w:rPr>
          <w:rFonts w:cs="Frutiger-Roman"/>
          <w:sz w:val="24"/>
          <w:szCs w:val="24"/>
        </w:rPr>
        <w:t xml:space="preserve">, </w:t>
      </w:r>
      <w:r>
        <w:rPr>
          <w:rFonts w:cs="Frutiger-Roman"/>
          <w:sz w:val="24"/>
          <w:szCs w:val="24"/>
        </w:rPr>
        <w:t>t</w:t>
      </w:r>
      <w:r w:rsidR="00E10A16">
        <w:rPr>
          <w:rFonts w:cs="Frutiger-Roman"/>
          <w:sz w:val="24"/>
          <w:szCs w:val="24"/>
        </w:rPr>
        <w:t xml:space="preserve">he Thai government waged a </w:t>
      </w:r>
      <w:r w:rsidR="00861EA5" w:rsidRPr="00E10A16">
        <w:rPr>
          <w:rFonts w:cs="Frutiger-Roman"/>
          <w:sz w:val="24"/>
          <w:szCs w:val="24"/>
        </w:rPr>
        <w:t>severe</w:t>
      </w:r>
      <w:r w:rsidR="0033422E">
        <w:rPr>
          <w:rFonts w:cs="Frutiger-Roman"/>
          <w:sz w:val="24"/>
          <w:szCs w:val="24"/>
        </w:rPr>
        <w:t xml:space="preserve"> and widely publicized</w:t>
      </w:r>
      <w:r w:rsidR="00861EA5" w:rsidRPr="00E10A16">
        <w:rPr>
          <w:rFonts w:cs="Frutiger-Roman"/>
          <w:sz w:val="24"/>
          <w:szCs w:val="24"/>
        </w:rPr>
        <w:t xml:space="preserve"> </w:t>
      </w:r>
      <w:r w:rsidR="009358FF">
        <w:rPr>
          <w:rFonts w:cs="Frutiger-Roman"/>
          <w:sz w:val="24"/>
          <w:szCs w:val="24"/>
        </w:rPr>
        <w:t>campaign against illegal</w:t>
      </w:r>
      <w:r w:rsidR="00861EA5" w:rsidRPr="00E10A16">
        <w:rPr>
          <w:rFonts w:cs="Frutiger-Roman"/>
          <w:sz w:val="24"/>
          <w:szCs w:val="24"/>
        </w:rPr>
        <w:t xml:space="preserve"> </w:t>
      </w:r>
      <w:r w:rsidR="0033422E">
        <w:rPr>
          <w:rFonts w:cs="Frutiger-Roman"/>
          <w:sz w:val="24"/>
          <w:szCs w:val="24"/>
        </w:rPr>
        <w:t>drug</w:t>
      </w:r>
      <w:r w:rsidR="009358FF">
        <w:rPr>
          <w:rFonts w:cs="Frutiger-Roman"/>
          <w:sz w:val="24"/>
          <w:szCs w:val="24"/>
        </w:rPr>
        <w:t xml:space="preserve"> u</w:t>
      </w:r>
      <w:r w:rsidR="0033422E">
        <w:rPr>
          <w:rFonts w:cs="Frutiger-Roman"/>
          <w:sz w:val="24"/>
          <w:szCs w:val="24"/>
        </w:rPr>
        <w:t>s</w:t>
      </w:r>
      <w:r w:rsidR="009358FF">
        <w:rPr>
          <w:rFonts w:cs="Frutiger-Roman"/>
          <w:sz w:val="24"/>
          <w:szCs w:val="24"/>
        </w:rPr>
        <w:t xml:space="preserve">e. This </w:t>
      </w:r>
      <w:r w:rsidR="002B454E">
        <w:rPr>
          <w:rFonts w:cs="Frutiger-Roman"/>
          <w:sz w:val="24"/>
          <w:szCs w:val="24"/>
        </w:rPr>
        <w:t xml:space="preserve">presented </w:t>
      </w:r>
      <w:r w:rsidR="0033422E">
        <w:rPr>
          <w:rFonts w:cs="Frutiger-Roman"/>
          <w:sz w:val="24"/>
          <w:szCs w:val="24"/>
        </w:rPr>
        <w:t>challenging</w:t>
      </w:r>
      <w:r w:rsidR="002B454E">
        <w:rPr>
          <w:rFonts w:cs="Frutiger-Roman"/>
          <w:sz w:val="24"/>
          <w:szCs w:val="24"/>
        </w:rPr>
        <w:t xml:space="preserve"> policy and legal</w:t>
      </w:r>
      <w:r w:rsidR="00E10A16">
        <w:rPr>
          <w:rFonts w:cs="Frutiger-Roman"/>
          <w:sz w:val="24"/>
          <w:szCs w:val="24"/>
        </w:rPr>
        <w:t xml:space="preserve"> </w:t>
      </w:r>
      <w:r w:rsidR="0033422E">
        <w:rPr>
          <w:rFonts w:cs="Frutiger-Roman"/>
          <w:sz w:val="24"/>
          <w:szCs w:val="24"/>
        </w:rPr>
        <w:t>hurdles</w:t>
      </w:r>
      <w:r w:rsidR="00E10A16">
        <w:rPr>
          <w:rFonts w:cs="Frutiger-Roman"/>
          <w:sz w:val="24"/>
          <w:szCs w:val="24"/>
        </w:rPr>
        <w:t xml:space="preserve"> for </w:t>
      </w:r>
      <w:r w:rsidR="0033422E">
        <w:rPr>
          <w:rFonts w:cs="Frutiger-Roman"/>
          <w:sz w:val="24"/>
          <w:szCs w:val="24"/>
        </w:rPr>
        <w:t>trial</w:t>
      </w:r>
      <w:r w:rsidR="00E10A16">
        <w:rPr>
          <w:rFonts w:cs="Frutiger-Roman"/>
          <w:sz w:val="24"/>
          <w:szCs w:val="24"/>
        </w:rPr>
        <w:t xml:space="preserve"> staff </w:t>
      </w:r>
      <w:r w:rsidR="00861EA5" w:rsidRPr="00E10A16">
        <w:rPr>
          <w:rFonts w:cs="Frutiger-Roman"/>
          <w:sz w:val="24"/>
          <w:szCs w:val="24"/>
        </w:rPr>
        <w:t xml:space="preserve">seeking to implement safe and respectful </w:t>
      </w:r>
      <w:r w:rsidR="009358FF">
        <w:rPr>
          <w:rFonts w:cs="Frutiger-Roman"/>
          <w:sz w:val="24"/>
          <w:szCs w:val="24"/>
        </w:rPr>
        <w:t>research</w:t>
      </w:r>
      <w:r w:rsidR="00861EA5" w:rsidRPr="00E10A16">
        <w:rPr>
          <w:rFonts w:cs="Frutiger-Roman"/>
          <w:sz w:val="24"/>
          <w:szCs w:val="24"/>
        </w:rPr>
        <w:t>.</w:t>
      </w:r>
      <w:r w:rsidR="00E10A16">
        <w:rPr>
          <w:rFonts w:cs="Frutiger-Roman"/>
          <w:sz w:val="24"/>
          <w:szCs w:val="24"/>
        </w:rPr>
        <w:t xml:space="preserve"> </w:t>
      </w:r>
      <w:r w:rsidR="00F67C75">
        <w:rPr>
          <w:rFonts w:cs="Frutiger-Roman"/>
          <w:sz w:val="24"/>
          <w:szCs w:val="24"/>
        </w:rPr>
        <w:t xml:space="preserve">In particular, </w:t>
      </w:r>
      <w:r w:rsidR="0066323F" w:rsidRPr="0066323F">
        <w:rPr>
          <w:rFonts w:cs="Frutiger-Roman"/>
          <w:sz w:val="24"/>
          <w:szCs w:val="24"/>
        </w:rPr>
        <w:t>Thai</w:t>
      </w:r>
      <w:r w:rsidR="003D6BC3">
        <w:rPr>
          <w:rFonts w:cs="Frutiger-Roman"/>
          <w:sz w:val="24"/>
          <w:szCs w:val="24"/>
        </w:rPr>
        <w:t>land's narcotics law prohibit</w:t>
      </w:r>
      <w:r w:rsidR="009358FF">
        <w:rPr>
          <w:rFonts w:cs="Frutiger-Roman"/>
          <w:sz w:val="24"/>
          <w:szCs w:val="24"/>
        </w:rPr>
        <w:t>ed</w:t>
      </w:r>
      <w:r w:rsidR="003D6BC3">
        <w:rPr>
          <w:rFonts w:cs="Frutiger-Roman"/>
          <w:sz w:val="24"/>
          <w:szCs w:val="24"/>
        </w:rPr>
        <w:t xml:space="preserve"> </w:t>
      </w:r>
      <w:r w:rsidR="0066323F" w:rsidRPr="0066323F">
        <w:rPr>
          <w:rFonts w:cs="Frutiger-Roman"/>
          <w:sz w:val="24"/>
          <w:szCs w:val="24"/>
        </w:rPr>
        <w:t>the distribution of needles to inject</w:t>
      </w:r>
      <w:r w:rsidR="003D6BC3">
        <w:rPr>
          <w:rFonts w:cs="Frutiger-Roman"/>
          <w:sz w:val="24"/>
          <w:szCs w:val="24"/>
        </w:rPr>
        <w:t xml:space="preserve"> illicit drugs, </w:t>
      </w:r>
      <w:r w:rsidR="00FB782A">
        <w:rPr>
          <w:rFonts w:cs="Frutiger-Roman"/>
          <w:sz w:val="24"/>
          <w:szCs w:val="24"/>
        </w:rPr>
        <w:t xml:space="preserve">and as a result, </w:t>
      </w:r>
      <w:r w:rsidR="009358FF">
        <w:rPr>
          <w:rFonts w:cs="Frutiger-Roman"/>
          <w:sz w:val="24"/>
          <w:szCs w:val="24"/>
        </w:rPr>
        <w:t xml:space="preserve">clean </w:t>
      </w:r>
      <w:r w:rsidR="003D6BC3">
        <w:rPr>
          <w:rFonts w:cs="Frutiger-Roman"/>
          <w:sz w:val="24"/>
          <w:szCs w:val="24"/>
        </w:rPr>
        <w:t xml:space="preserve">needles </w:t>
      </w:r>
      <w:r w:rsidR="00FD71BA">
        <w:rPr>
          <w:rFonts w:cs="Frutiger-Roman"/>
          <w:sz w:val="24"/>
          <w:szCs w:val="24"/>
        </w:rPr>
        <w:t>could</w:t>
      </w:r>
      <w:r w:rsidR="00FD71BA" w:rsidRPr="0066323F">
        <w:rPr>
          <w:rFonts w:cs="Frutiger-Roman"/>
          <w:sz w:val="24"/>
          <w:szCs w:val="24"/>
        </w:rPr>
        <w:t xml:space="preserve"> </w:t>
      </w:r>
      <w:r w:rsidR="0066323F" w:rsidRPr="0066323F">
        <w:rPr>
          <w:rFonts w:cs="Frutiger-Roman"/>
          <w:sz w:val="24"/>
          <w:szCs w:val="24"/>
        </w:rPr>
        <w:t xml:space="preserve">not </w:t>
      </w:r>
      <w:r w:rsidR="00FD71BA">
        <w:rPr>
          <w:rFonts w:cs="Frutiger-Roman"/>
          <w:sz w:val="24"/>
          <w:szCs w:val="24"/>
        </w:rPr>
        <w:t xml:space="preserve">be </w:t>
      </w:r>
      <w:r w:rsidR="0066323F" w:rsidRPr="0066323F">
        <w:rPr>
          <w:rFonts w:cs="Frutiger-Roman"/>
          <w:sz w:val="24"/>
          <w:szCs w:val="24"/>
        </w:rPr>
        <w:t xml:space="preserve">provided </w:t>
      </w:r>
      <w:r w:rsidR="00FB782A">
        <w:rPr>
          <w:rFonts w:cs="Frutiger-Roman"/>
          <w:sz w:val="24"/>
          <w:szCs w:val="24"/>
        </w:rPr>
        <w:t xml:space="preserve">to individuals </w:t>
      </w:r>
      <w:r w:rsidR="00D526CC">
        <w:rPr>
          <w:rFonts w:cs="Frutiger-Roman"/>
          <w:sz w:val="24"/>
          <w:szCs w:val="24"/>
        </w:rPr>
        <w:t>participa</w:t>
      </w:r>
      <w:r w:rsidR="00FB782A">
        <w:rPr>
          <w:rFonts w:cs="Frutiger-Roman"/>
          <w:sz w:val="24"/>
          <w:szCs w:val="24"/>
        </w:rPr>
        <w:t>ting in BTS</w:t>
      </w:r>
      <w:r w:rsidR="0066323F" w:rsidRPr="0066323F">
        <w:rPr>
          <w:rFonts w:cs="Frutiger-Roman"/>
          <w:sz w:val="24"/>
          <w:szCs w:val="24"/>
        </w:rPr>
        <w:t xml:space="preserve">. </w:t>
      </w:r>
    </w:p>
    <w:p w14:paraId="681F68F3" w14:textId="77777777" w:rsidR="00513F2A" w:rsidRDefault="00513F2A" w:rsidP="00CE4962">
      <w:pPr>
        <w:autoSpaceDE w:val="0"/>
        <w:autoSpaceDN w:val="0"/>
        <w:adjustRightInd w:val="0"/>
        <w:spacing w:after="0" w:line="240" w:lineRule="auto"/>
        <w:rPr>
          <w:rFonts w:cs="Frutiger-Roman"/>
          <w:sz w:val="24"/>
          <w:szCs w:val="24"/>
        </w:rPr>
      </w:pPr>
    </w:p>
    <w:p w14:paraId="595694D4" w14:textId="3A6B4D4E" w:rsidR="00513F2A" w:rsidRPr="003D6BC3" w:rsidRDefault="00513F2A" w:rsidP="00513F2A">
      <w:pPr>
        <w:autoSpaceDE w:val="0"/>
        <w:autoSpaceDN w:val="0"/>
        <w:adjustRightInd w:val="0"/>
        <w:spacing w:after="0" w:line="240" w:lineRule="auto"/>
        <w:rPr>
          <w:rFonts w:cs="Frutiger-Roman"/>
          <w:sz w:val="24"/>
          <w:szCs w:val="24"/>
        </w:rPr>
      </w:pPr>
      <w:r>
        <w:rPr>
          <w:rFonts w:cs="Frutiger-Roman"/>
          <w:sz w:val="24"/>
          <w:szCs w:val="24"/>
        </w:rPr>
        <w:t>The trial sparked a heated dialogue among a</w:t>
      </w:r>
      <w:r w:rsidR="00512A17">
        <w:rPr>
          <w:rFonts w:cs="Frutiger-Roman"/>
          <w:sz w:val="24"/>
          <w:szCs w:val="24"/>
        </w:rPr>
        <w:t>dvocates and researchers about HIV p</w:t>
      </w:r>
      <w:r>
        <w:rPr>
          <w:rFonts w:cs="Frutiger-Roman"/>
          <w:sz w:val="24"/>
          <w:szCs w:val="24"/>
        </w:rPr>
        <w:t>revention and support options that were not being offered to participants.</w:t>
      </w:r>
      <w:r w:rsidRPr="003D6BC3">
        <w:rPr>
          <w:rFonts w:cs="Frutiger-Roman"/>
          <w:sz w:val="24"/>
          <w:szCs w:val="24"/>
        </w:rPr>
        <w:t xml:space="preserve"> </w:t>
      </w:r>
      <w:r>
        <w:rPr>
          <w:rFonts w:cs="Frutiger-Roman"/>
          <w:sz w:val="24"/>
          <w:szCs w:val="24"/>
        </w:rPr>
        <w:t>Some advocacy organizations</w:t>
      </w:r>
      <w:r w:rsidRPr="00CE4962">
        <w:rPr>
          <w:rFonts w:cs="Frutiger-Roman"/>
          <w:sz w:val="24"/>
          <w:szCs w:val="24"/>
        </w:rPr>
        <w:t xml:space="preserve"> argued that by doing a prevention trial with drug users and failing to provide </w:t>
      </w:r>
      <w:r w:rsidR="00D01B1D">
        <w:rPr>
          <w:rFonts w:cs="Frutiger-Roman"/>
          <w:sz w:val="24"/>
          <w:szCs w:val="24"/>
        </w:rPr>
        <w:t xml:space="preserve">all participants </w:t>
      </w:r>
      <w:r>
        <w:rPr>
          <w:rFonts w:cs="Frutiger-Roman"/>
          <w:sz w:val="24"/>
          <w:szCs w:val="24"/>
        </w:rPr>
        <w:t xml:space="preserve">with </w:t>
      </w:r>
      <w:r w:rsidRPr="00CE4962">
        <w:rPr>
          <w:rFonts w:cs="Frutiger-Roman"/>
          <w:sz w:val="24"/>
          <w:szCs w:val="24"/>
        </w:rPr>
        <w:t>clean needles, the trial failed to meet its ethical obligation to provide the best possible prevention standards.</w:t>
      </w:r>
      <w:r>
        <w:rPr>
          <w:rFonts w:cs="Frutiger-Roman"/>
          <w:sz w:val="24"/>
          <w:szCs w:val="24"/>
        </w:rPr>
        <w:t xml:space="preserve"> </w:t>
      </w:r>
      <w:r w:rsidRPr="00CE4962">
        <w:rPr>
          <w:rFonts w:cs="Frutiger-Roman"/>
          <w:sz w:val="24"/>
          <w:szCs w:val="24"/>
        </w:rPr>
        <w:t xml:space="preserve">The Thai Drug Users’ Network demanded a ‘halt or redesign’ </w:t>
      </w:r>
      <w:r w:rsidR="00FD71BA">
        <w:rPr>
          <w:rFonts w:cs="Frutiger-Roman"/>
          <w:sz w:val="24"/>
          <w:szCs w:val="24"/>
        </w:rPr>
        <w:t>of</w:t>
      </w:r>
      <w:r w:rsidR="00FD71BA" w:rsidRPr="00CE4962">
        <w:rPr>
          <w:rFonts w:cs="Frutiger-Roman"/>
          <w:sz w:val="24"/>
          <w:szCs w:val="24"/>
        </w:rPr>
        <w:t xml:space="preserve"> </w:t>
      </w:r>
      <w:r w:rsidRPr="00CE4962">
        <w:rPr>
          <w:rFonts w:cs="Frutiger-Roman"/>
          <w:sz w:val="24"/>
          <w:szCs w:val="24"/>
        </w:rPr>
        <w:t>the trial</w:t>
      </w:r>
      <w:r>
        <w:rPr>
          <w:rFonts w:cs="Frutiger-Roman"/>
          <w:sz w:val="24"/>
          <w:szCs w:val="24"/>
        </w:rPr>
        <w:t>. Other community groups, including the</w:t>
      </w:r>
      <w:r w:rsidRPr="007400CD">
        <w:rPr>
          <w:rFonts w:cs="Frutiger-Roman"/>
          <w:sz w:val="24"/>
          <w:szCs w:val="24"/>
        </w:rPr>
        <w:t xml:space="preserve"> Thai National Network of People Living with HIV</w:t>
      </w:r>
      <w:r w:rsidR="009054AC">
        <w:rPr>
          <w:rFonts w:cs="Frutiger-Roman"/>
          <w:sz w:val="24"/>
          <w:szCs w:val="24"/>
        </w:rPr>
        <w:t xml:space="preserve">, </w:t>
      </w:r>
      <w:r w:rsidRPr="007400CD">
        <w:rPr>
          <w:rFonts w:cs="Frutiger-Roman"/>
          <w:sz w:val="24"/>
          <w:szCs w:val="24"/>
        </w:rPr>
        <w:t>and the Thai AIDS Treatment Action Group</w:t>
      </w:r>
      <w:r>
        <w:rPr>
          <w:rFonts w:cs="Frutiger-Roman"/>
          <w:sz w:val="24"/>
          <w:szCs w:val="24"/>
        </w:rPr>
        <w:t xml:space="preserve">, </w:t>
      </w:r>
      <w:r w:rsidR="009358FF">
        <w:rPr>
          <w:rFonts w:cs="Frutiger-Roman"/>
          <w:sz w:val="24"/>
          <w:szCs w:val="24"/>
        </w:rPr>
        <w:t>expressed</w:t>
      </w:r>
      <w:r w:rsidRPr="00CE4962">
        <w:rPr>
          <w:rFonts w:cs="Frutiger-Roman"/>
          <w:sz w:val="24"/>
          <w:szCs w:val="24"/>
        </w:rPr>
        <w:t xml:space="preserve"> concern about unethical and coercive recruitment procedures, the fact that needle-exchange was not being offered despite half the participants being given a placebo, and the fact that, should </w:t>
      </w:r>
      <w:r w:rsidR="00FB782A">
        <w:rPr>
          <w:rFonts w:cs="Frutiger-Roman"/>
          <w:sz w:val="24"/>
          <w:szCs w:val="24"/>
        </w:rPr>
        <w:t>the intervention</w:t>
      </w:r>
      <w:r w:rsidR="00FB782A" w:rsidRPr="00CE4962">
        <w:rPr>
          <w:rFonts w:cs="Frutiger-Roman"/>
          <w:sz w:val="24"/>
          <w:szCs w:val="24"/>
        </w:rPr>
        <w:t xml:space="preserve"> </w:t>
      </w:r>
      <w:r w:rsidRPr="00CE4962">
        <w:rPr>
          <w:rFonts w:cs="Frutiger-Roman"/>
          <w:sz w:val="24"/>
          <w:szCs w:val="24"/>
        </w:rPr>
        <w:t xml:space="preserve">prove effective, there was no guarantee of </w:t>
      </w:r>
      <w:r w:rsidR="00F67C75">
        <w:rPr>
          <w:rFonts w:cs="Frutiger-Roman"/>
          <w:sz w:val="24"/>
          <w:szCs w:val="24"/>
        </w:rPr>
        <w:t>post-trial access</w:t>
      </w:r>
      <w:r w:rsidRPr="00CE4962">
        <w:rPr>
          <w:rFonts w:cs="Frutiger-Roman"/>
          <w:sz w:val="24"/>
          <w:szCs w:val="24"/>
        </w:rPr>
        <w:t xml:space="preserve">. </w:t>
      </w:r>
    </w:p>
    <w:p w14:paraId="69987D4D" w14:textId="77777777" w:rsidR="00513F2A" w:rsidRDefault="00513F2A" w:rsidP="00513F2A">
      <w:pPr>
        <w:autoSpaceDE w:val="0"/>
        <w:autoSpaceDN w:val="0"/>
        <w:adjustRightInd w:val="0"/>
        <w:spacing w:after="0" w:line="240" w:lineRule="auto"/>
        <w:rPr>
          <w:rFonts w:cs="Frutiger-Roman"/>
          <w:sz w:val="24"/>
          <w:szCs w:val="24"/>
        </w:rPr>
      </w:pPr>
    </w:p>
    <w:p w14:paraId="1A0BEF95" w14:textId="452C11C3" w:rsidR="00513F2A" w:rsidRDefault="00513F2A" w:rsidP="00513F2A">
      <w:pPr>
        <w:autoSpaceDE w:val="0"/>
        <w:autoSpaceDN w:val="0"/>
        <w:adjustRightInd w:val="0"/>
        <w:spacing w:after="0" w:line="240" w:lineRule="auto"/>
        <w:rPr>
          <w:rFonts w:cs="Frutiger-Roman"/>
          <w:sz w:val="24"/>
          <w:szCs w:val="24"/>
        </w:rPr>
      </w:pPr>
      <w:r w:rsidRPr="0048662E">
        <w:rPr>
          <w:rFonts w:cs="Frutiger-Roman"/>
          <w:sz w:val="24"/>
          <w:szCs w:val="24"/>
        </w:rPr>
        <w:t xml:space="preserve">As a result of this outcry, </w:t>
      </w:r>
      <w:r w:rsidR="00E720F9">
        <w:rPr>
          <w:rFonts w:cs="Frutiger-Roman"/>
          <w:sz w:val="24"/>
          <w:szCs w:val="24"/>
        </w:rPr>
        <w:t>global and in-country</w:t>
      </w:r>
      <w:r w:rsidR="00E354CA">
        <w:rPr>
          <w:rFonts w:cs="Frutiger-Roman"/>
          <w:sz w:val="24"/>
          <w:szCs w:val="24"/>
        </w:rPr>
        <w:t xml:space="preserve"> </w:t>
      </w:r>
      <w:r w:rsidR="00DE296B">
        <w:rPr>
          <w:rFonts w:cs="Frutiger-Roman"/>
          <w:sz w:val="24"/>
          <w:szCs w:val="24"/>
        </w:rPr>
        <w:t>meeting</w:t>
      </w:r>
      <w:r w:rsidR="00E720F9">
        <w:rPr>
          <w:rFonts w:cs="Frutiger-Roman"/>
          <w:sz w:val="24"/>
          <w:szCs w:val="24"/>
        </w:rPr>
        <w:t>s</w:t>
      </w:r>
      <w:r>
        <w:rPr>
          <w:rFonts w:cs="Frutiger-Roman"/>
          <w:sz w:val="24"/>
          <w:szCs w:val="24"/>
        </w:rPr>
        <w:t xml:space="preserve"> </w:t>
      </w:r>
      <w:r w:rsidR="00E720F9">
        <w:rPr>
          <w:rFonts w:cs="Frutiger-Roman"/>
          <w:sz w:val="24"/>
          <w:szCs w:val="24"/>
        </w:rPr>
        <w:t>were</w:t>
      </w:r>
      <w:r w:rsidR="00E354CA">
        <w:rPr>
          <w:rFonts w:cs="Frutiger-Roman"/>
          <w:sz w:val="24"/>
          <w:szCs w:val="24"/>
        </w:rPr>
        <w:t xml:space="preserve"> convened with t</w:t>
      </w:r>
      <w:r>
        <w:rPr>
          <w:rFonts w:cs="Frutiger-Roman"/>
          <w:sz w:val="24"/>
          <w:szCs w:val="24"/>
        </w:rPr>
        <w:t>h</w:t>
      </w:r>
      <w:r w:rsidR="00E354CA">
        <w:rPr>
          <w:rFonts w:cs="Frutiger-Roman"/>
          <w:sz w:val="24"/>
          <w:szCs w:val="24"/>
        </w:rPr>
        <w:t xml:space="preserve">e trial </w:t>
      </w:r>
      <w:r w:rsidR="00512A17">
        <w:rPr>
          <w:rFonts w:cs="Frutiger-Roman"/>
          <w:sz w:val="24"/>
          <w:szCs w:val="24"/>
        </w:rPr>
        <w:t>sponsors, civil society groups, and other</w:t>
      </w:r>
      <w:r w:rsidRPr="0033422E">
        <w:rPr>
          <w:rFonts w:cs="Frutiger-Roman"/>
          <w:sz w:val="24"/>
          <w:szCs w:val="24"/>
        </w:rPr>
        <w:t xml:space="preserve"> stakeholders</w:t>
      </w:r>
      <w:r w:rsidR="00DE296B">
        <w:rPr>
          <w:rFonts w:cs="Frutiger-Roman"/>
          <w:sz w:val="24"/>
          <w:szCs w:val="24"/>
        </w:rPr>
        <w:t xml:space="preserve"> to foster dialogue and </w:t>
      </w:r>
      <w:r w:rsidR="00DE296B" w:rsidRPr="00AA2E1A">
        <w:rPr>
          <w:rFonts w:cs="Frutiger-Roman"/>
          <w:sz w:val="24"/>
          <w:szCs w:val="24"/>
        </w:rPr>
        <w:t xml:space="preserve">discuss some of the ethical and operational challenges </w:t>
      </w:r>
      <w:r w:rsidR="009358FF">
        <w:rPr>
          <w:rFonts w:cs="Frutiger-Roman"/>
          <w:sz w:val="24"/>
          <w:szCs w:val="24"/>
        </w:rPr>
        <w:t>to BTS</w:t>
      </w:r>
      <w:r w:rsidR="00E354CA">
        <w:rPr>
          <w:rFonts w:cs="Frutiger-Roman"/>
          <w:sz w:val="24"/>
          <w:szCs w:val="24"/>
        </w:rPr>
        <w:t>.</w:t>
      </w:r>
      <w:r w:rsidRPr="0033422E">
        <w:rPr>
          <w:rFonts w:cs="Frutiger-Roman"/>
          <w:sz w:val="24"/>
          <w:szCs w:val="24"/>
        </w:rPr>
        <w:t xml:space="preserve"> </w:t>
      </w:r>
      <w:r w:rsidR="00F67C75">
        <w:rPr>
          <w:rFonts w:cs="Frutiger-Roman"/>
          <w:sz w:val="24"/>
          <w:szCs w:val="24"/>
        </w:rPr>
        <w:t>Key i</w:t>
      </w:r>
      <w:r w:rsidRPr="0033422E">
        <w:rPr>
          <w:rFonts w:cs="Frutiger-Roman"/>
          <w:sz w:val="24"/>
          <w:szCs w:val="24"/>
        </w:rPr>
        <w:t>ssues of concern</w:t>
      </w:r>
      <w:r w:rsidR="00F67C75">
        <w:rPr>
          <w:rFonts w:cs="Frutiger-Roman"/>
          <w:sz w:val="24"/>
          <w:szCs w:val="24"/>
        </w:rPr>
        <w:t xml:space="preserve"> </w:t>
      </w:r>
      <w:r w:rsidR="00DE296B">
        <w:rPr>
          <w:rFonts w:cs="Frutiger-Roman"/>
          <w:sz w:val="24"/>
          <w:szCs w:val="24"/>
        </w:rPr>
        <w:t xml:space="preserve">included </w:t>
      </w:r>
      <w:r w:rsidR="00F67C75">
        <w:rPr>
          <w:rFonts w:cs="Frutiger-Roman"/>
          <w:sz w:val="24"/>
          <w:szCs w:val="24"/>
        </w:rPr>
        <w:t>stakeholder perceptions of</w:t>
      </w:r>
      <w:r w:rsidR="00DE296B">
        <w:rPr>
          <w:rFonts w:cs="Frutiger-Roman"/>
          <w:sz w:val="24"/>
          <w:szCs w:val="24"/>
        </w:rPr>
        <w:t xml:space="preserve"> </w:t>
      </w:r>
      <w:r w:rsidR="00AA2E1A">
        <w:rPr>
          <w:rFonts w:cs="Frutiger-Roman"/>
          <w:sz w:val="24"/>
          <w:szCs w:val="24"/>
        </w:rPr>
        <w:t xml:space="preserve">inadequate </w:t>
      </w:r>
      <w:r>
        <w:rPr>
          <w:rFonts w:cs="Frutiger-Roman"/>
          <w:sz w:val="24"/>
          <w:szCs w:val="24"/>
        </w:rPr>
        <w:t xml:space="preserve">standard of </w:t>
      </w:r>
      <w:r w:rsidR="00CD6653">
        <w:rPr>
          <w:rFonts w:cs="Frutiger-Roman"/>
          <w:sz w:val="24"/>
          <w:szCs w:val="24"/>
        </w:rPr>
        <w:t xml:space="preserve">HIV </w:t>
      </w:r>
      <w:r>
        <w:rPr>
          <w:rFonts w:cs="Frutiger-Roman"/>
          <w:sz w:val="24"/>
          <w:szCs w:val="24"/>
        </w:rPr>
        <w:t xml:space="preserve">prevention </w:t>
      </w:r>
      <w:r w:rsidR="009358FF">
        <w:rPr>
          <w:rFonts w:cs="Frutiger-Roman"/>
          <w:sz w:val="24"/>
          <w:szCs w:val="24"/>
        </w:rPr>
        <w:t>in the trial</w:t>
      </w:r>
      <w:r>
        <w:rPr>
          <w:rFonts w:cs="Frutiger-Roman"/>
          <w:sz w:val="24"/>
          <w:szCs w:val="24"/>
        </w:rPr>
        <w:t>, lack of</w:t>
      </w:r>
      <w:r w:rsidRPr="0015613B">
        <w:rPr>
          <w:rFonts w:cs="Frutiger-Roman"/>
          <w:sz w:val="24"/>
          <w:szCs w:val="24"/>
        </w:rPr>
        <w:t xml:space="preserve"> community </w:t>
      </w:r>
      <w:r>
        <w:rPr>
          <w:rFonts w:cs="Frutiger-Roman"/>
          <w:sz w:val="24"/>
          <w:szCs w:val="24"/>
        </w:rPr>
        <w:t xml:space="preserve">stakeholder </w:t>
      </w:r>
      <w:r w:rsidRPr="0015613B">
        <w:rPr>
          <w:rFonts w:cs="Frutiger-Roman"/>
          <w:sz w:val="24"/>
          <w:szCs w:val="24"/>
        </w:rPr>
        <w:t>involvement or consultation in de</w:t>
      </w:r>
      <w:r>
        <w:rPr>
          <w:rFonts w:cs="Frutiger-Roman"/>
          <w:sz w:val="24"/>
          <w:szCs w:val="24"/>
        </w:rPr>
        <w:t xml:space="preserve">sign and development of protocol, lack of clarity around the </w:t>
      </w:r>
      <w:r w:rsidRPr="00B241B0">
        <w:rPr>
          <w:rFonts w:cs="Frutiger-Roman"/>
          <w:sz w:val="24"/>
          <w:szCs w:val="24"/>
        </w:rPr>
        <w:t xml:space="preserve">standard of care </w:t>
      </w:r>
      <w:r>
        <w:rPr>
          <w:rFonts w:cs="Frutiger-Roman"/>
          <w:sz w:val="24"/>
          <w:szCs w:val="24"/>
        </w:rPr>
        <w:t>for seroconverters and HIV</w:t>
      </w:r>
      <w:r w:rsidR="00FD71BA">
        <w:rPr>
          <w:rFonts w:cs="Frutiger-Roman"/>
          <w:sz w:val="24"/>
          <w:szCs w:val="24"/>
        </w:rPr>
        <w:t>-</w:t>
      </w:r>
      <w:r>
        <w:rPr>
          <w:rFonts w:cs="Frutiger-Roman"/>
          <w:sz w:val="24"/>
          <w:szCs w:val="24"/>
        </w:rPr>
        <w:t>positive</w:t>
      </w:r>
      <w:r w:rsidRPr="00B241B0">
        <w:rPr>
          <w:rFonts w:cs="Frutiger-Roman"/>
          <w:sz w:val="24"/>
          <w:szCs w:val="24"/>
        </w:rPr>
        <w:t xml:space="preserve"> </w:t>
      </w:r>
      <w:r w:rsidR="00FB782A">
        <w:rPr>
          <w:rFonts w:cs="Frutiger-Roman"/>
          <w:sz w:val="24"/>
          <w:szCs w:val="24"/>
        </w:rPr>
        <w:t>individuals</w:t>
      </w:r>
      <w:r w:rsidR="00FB782A" w:rsidRPr="00B241B0">
        <w:rPr>
          <w:rFonts w:cs="Frutiger-Roman"/>
          <w:sz w:val="24"/>
          <w:szCs w:val="24"/>
        </w:rPr>
        <w:t xml:space="preserve"> </w:t>
      </w:r>
      <w:r w:rsidRPr="00B241B0">
        <w:rPr>
          <w:rFonts w:cs="Frutiger-Roman"/>
          <w:sz w:val="24"/>
          <w:szCs w:val="24"/>
        </w:rPr>
        <w:t xml:space="preserve">who </w:t>
      </w:r>
      <w:r>
        <w:rPr>
          <w:rFonts w:cs="Frutiger-Roman"/>
          <w:sz w:val="24"/>
          <w:szCs w:val="24"/>
        </w:rPr>
        <w:t xml:space="preserve">were </w:t>
      </w:r>
      <w:r w:rsidRPr="00B241B0">
        <w:rPr>
          <w:rFonts w:cs="Frutiger-Roman"/>
          <w:sz w:val="24"/>
          <w:szCs w:val="24"/>
        </w:rPr>
        <w:t>screened out</w:t>
      </w:r>
      <w:r>
        <w:rPr>
          <w:rFonts w:cs="Frutiger-Roman"/>
          <w:sz w:val="24"/>
          <w:szCs w:val="24"/>
        </w:rPr>
        <w:t>, and l</w:t>
      </w:r>
      <w:r w:rsidRPr="000031BC">
        <w:rPr>
          <w:rFonts w:cs="Frutiger-Roman"/>
          <w:sz w:val="24"/>
          <w:szCs w:val="24"/>
        </w:rPr>
        <w:t xml:space="preserve">ack of </w:t>
      </w:r>
      <w:r w:rsidR="009358FF">
        <w:rPr>
          <w:rFonts w:cs="Frutiger-Roman"/>
          <w:sz w:val="24"/>
          <w:szCs w:val="24"/>
        </w:rPr>
        <w:t xml:space="preserve">participant </w:t>
      </w:r>
      <w:r w:rsidRPr="000031BC">
        <w:rPr>
          <w:rFonts w:cs="Frutiger-Roman"/>
          <w:sz w:val="24"/>
          <w:szCs w:val="24"/>
        </w:rPr>
        <w:t>protection mechanism</w:t>
      </w:r>
      <w:r>
        <w:rPr>
          <w:rFonts w:cs="Frutiger-Roman"/>
          <w:sz w:val="24"/>
          <w:szCs w:val="24"/>
        </w:rPr>
        <w:t>s</w:t>
      </w:r>
      <w:r w:rsidRPr="000031BC">
        <w:rPr>
          <w:rFonts w:cs="Frutiger-Roman"/>
          <w:sz w:val="24"/>
          <w:szCs w:val="24"/>
        </w:rPr>
        <w:t xml:space="preserve"> </w:t>
      </w:r>
      <w:r w:rsidR="009358FF">
        <w:rPr>
          <w:rFonts w:cs="Frutiger-Roman"/>
          <w:sz w:val="24"/>
          <w:szCs w:val="24"/>
        </w:rPr>
        <w:t>within</w:t>
      </w:r>
      <w:r>
        <w:rPr>
          <w:rFonts w:cs="Frutiger-Roman"/>
          <w:sz w:val="24"/>
          <w:szCs w:val="24"/>
        </w:rPr>
        <w:t xml:space="preserve"> the volatile national context. </w:t>
      </w:r>
      <w:r w:rsidR="00FD745C">
        <w:rPr>
          <w:rFonts w:cs="Frutiger-Roman"/>
          <w:sz w:val="24"/>
          <w:szCs w:val="24"/>
        </w:rPr>
        <w:t>Stakeholder</w:t>
      </w:r>
      <w:r w:rsidR="009232C0">
        <w:rPr>
          <w:rFonts w:cs="Frutiger-Roman"/>
          <w:sz w:val="24"/>
          <w:szCs w:val="24"/>
        </w:rPr>
        <w:t>s’</w:t>
      </w:r>
      <w:r w:rsidR="00FD745C">
        <w:rPr>
          <w:rFonts w:cs="Frutiger-Roman"/>
          <w:sz w:val="24"/>
          <w:szCs w:val="24"/>
        </w:rPr>
        <w:t xml:space="preserve"> </w:t>
      </w:r>
      <w:r w:rsidR="00D32BAE">
        <w:rPr>
          <w:rFonts w:cs="Frutiger-Roman"/>
          <w:sz w:val="24"/>
          <w:szCs w:val="24"/>
        </w:rPr>
        <w:t xml:space="preserve">requests </w:t>
      </w:r>
      <w:r w:rsidR="005A794D">
        <w:rPr>
          <w:rFonts w:cs="Frutiger-Roman"/>
          <w:sz w:val="24"/>
          <w:szCs w:val="24"/>
        </w:rPr>
        <w:t xml:space="preserve">for </w:t>
      </w:r>
      <w:r w:rsidR="009232C0">
        <w:rPr>
          <w:rFonts w:cs="Frutiger-Roman"/>
          <w:sz w:val="24"/>
          <w:szCs w:val="24"/>
        </w:rPr>
        <w:t xml:space="preserve">specific actions </w:t>
      </w:r>
      <w:r w:rsidR="00FD745C">
        <w:rPr>
          <w:rFonts w:cs="Frutiger-Roman"/>
          <w:sz w:val="24"/>
          <w:szCs w:val="24"/>
        </w:rPr>
        <w:t>were</w:t>
      </w:r>
      <w:r w:rsidR="004B1F92">
        <w:rPr>
          <w:rFonts w:cs="Frutiger-Roman"/>
          <w:sz w:val="24"/>
          <w:szCs w:val="24"/>
        </w:rPr>
        <w:t xml:space="preserve"> </w:t>
      </w:r>
      <w:r w:rsidR="00D32BAE">
        <w:rPr>
          <w:rFonts w:cs="Frutiger-Roman"/>
          <w:sz w:val="24"/>
          <w:szCs w:val="24"/>
        </w:rPr>
        <w:t xml:space="preserve">acknowledged by </w:t>
      </w:r>
      <w:r w:rsidR="00CD6653">
        <w:rPr>
          <w:rFonts w:cs="Frutiger-Roman"/>
          <w:sz w:val="24"/>
          <w:szCs w:val="24"/>
        </w:rPr>
        <w:t>the</w:t>
      </w:r>
      <w:r w:rsidR="00D32BAE">
        <w:rPr>
          <w:rFonts w:cs="Frutiger-Roman"/>
          <w:sz w:val="24"/>
          <w:szCs w:val="24"/>
        </w:rPr>
        <w:t xml:space="preserve"> sponsors during </w:t>
      </w:r>
      <w:r w:rsidR="009358FF">
        <w:rPr>
          <w:rFonts w:cs="Frutiger-Roman"/>
          <w:sz w:val="24"/>
          <w:szCs w:val="24"/>
        </w:rPr>
        <w:t>consultations</w:t>
      </w:r>
      <w:r w:rsidR="00D32BAE">
        <w:rPr>
          <w:rFonts w:cs="Frutiger-Roman"/>
          <w:sz w:val="24"/>
          <w:szCs w:val="24"/>
        </w:rPr>
        <w:t xml:space="preserve">, </w:t>
      </w:r>
      <w:r w:rsidR="00FD745C">
        <w:rPr>
          <w:rFonts w:cs="Frutiger-Roman"/>
          <w:sz w:val="24"/>
          <w:szCs w:val="24"/>
        </w:rPr>
        <w:t xml:space="preserve">but </w:t>
      </w:r>
      <w:r w:rsidR="004B1F92">
        <w:rPr>
          <w:rFonts w:cs="Frutiger-Roman"/>
          <w:sz w:val="24"/>
          <w:szCs w:val="24"/>
        </w:rPr>
        <w:t>follow</w:t>
      </w:r>
      <w:r w:rsidR="00FD71BA">
        <w:rPr>
          <w:rFonts w:cs="Frutiger-Roman"/>
          <w:sz w:val="24"/>
          <w:szCs w:val="24"/>
        </w:rPr>
        <w:t>-</w:t>
      </w:r>
      <w:r w:rsidR="00FD745C">
        <w:rPr>
          <w:rFonts w:cs="Frutiger-Roman"/>
          <w:sz w:val="24"/>
          <w:szCs w:val="24"/>
        </w:rPr>
        <w:t xml:space="preserve">up was </w:t>
      </w:r>
      <w:r w:rsidR="009232C0">
        <w:rPr>
          <w:rFonts w:cs="Frutiger-Roman"/>
          <w:sz w:val="24"/>
          <w:szCs w:val="24"/>
        </w:rPr>
        <w:t xml:space="preserve">perceived to be </w:t>
      </w:r>
      <w:r w:rsidR="00FD745C">
        <w:rPr>
          <w:rFonts w:cs="Frutiger-Roman"/>
          <w:sz w:val="24"/>
          <w:szCs w:val="24"/>
        </w:rPr>
        <w:t>insuff</w:t>
      </w:r>
      <w:r w:rsidR="004B1F92">
        <w:rPr>
          <w:rFonts w:cs="Frutiger-Roman"/>
          <w:sz w:val="24"/>
          <w:szCs w:val="24"/>
        </w:rPr>
        <w:t>i</w:t>
      </w:r>
      <w:r w:rsidR="00FD745C">
        <w:rPr>
          <w:rFonts w:cs="Frutiger-Roman"/>
          <w:sz w:val="24"/>
          <w:szCs w:val="24"/>
        </w:rPr>
        <w:t>c</w:t>
      </w:r>
      <w:r w:rsidR="005A794D">
        <w:rPr>
          <w:rFonts w:cs="Frutiger-Roman"/>
          <w:sz w:val="24"/>
          <w:szCs w:val="24"/>
        </w:rPr>
        <w:t>i</w:t>
      </w:r>
      <w:r w:rsidR="00FD745C">
        <w:rPr>
          <w:rFonts w:cs="Frutiger-Roman"/>
          <w:sz w:val="24"/>
          <w:szCs w:val="24"/>
        </w:rPr>
        <w:t>ent according to civil society groups.</w:t>
      </w:r>
    </w:p>
    <w:p w14:paraId="373AB409" w14:textId="77777777" w:rsidR="009358FF" w:rsidRDefault="009358FF" w:rsidP="00513F2A">
      <w:pPr>
        <w:autoSpaceDE w:val="0"/>
        <w:autoSpaceDN w:val="0"/>
        <w:adjustRightInd w:val="0"/>
        <w:spacing w:after="0" w:line="240" w:lineRule="auto"/>
        <w:rPr>
          <w:rFonts w:cs="Frutiger-Roman"/>
          <w:sz w:val="24"/>
          <w:szCs w:val="24"/>
        </w:rPr>
      </w:pPr>
    </w:p>
    <w:p w14:paraId="52CEE6FA" w14:textId="645AA6F9" w:rsidR="009358FF" w:rsidRDefault="009358FF" w:rsidP="00CE4962">
      <w:pPr>
        <w:autoSpaceDE w:val="0"/>
        <w:autoSpaceDN w:val="0"/>
        <w:adjustRightInd w:val="0"/>
        <w:spacing w:after="0" w:line="240" w:lineRule="auto"/>
        <w:rPr>
          <w:rFonts w:cs="Frutiger-Roman"/>
          <w:sz w:val="24"/>
          <w:szCs w:val="24"/>
        </w:rPr>
      </w:pPr>
      <w:r>
        <w:rPr>
          <w:rFonts w:cs="Frutiger-Roman"/>
          <w:sz w:val="24"/>
          <w:szCs w:val="24"/>
        </w:rPr>
        <w:lastRenderedPageBreak/>
        <w:t>BTS</w:t>
      </w:r>
      <w:r w:rsidR="00F67C75">
        <w:rPr>
          <w:rFonts w:cs="Frutiger-Roman"/>
          <w:sz w:val="24"/>
          <w:szCs w:val="24"/>
        </w:rPr>
        <w:t xml:space="preserve"> </w:t>
      </w:r>
      <w:r w:rsidR="001D111D" w:rsidRPr="007400CD">
        <w:rPr>
          <w:rFonts w:cs="Frutiger-Roman"/>
          <w:sz w:val="24"/>
          <w:szCs w:val="24"/>
        </w:rPr>
        <w:t>results</w:t>
      </w:r>
      <w:r w:rsidR="00F67C75">
        <w:rPr>
          <w:rFonts w:cs="Frutiger-Roman"/>
          <w:sz w:val="24"/>
          <w:szCs w:val="24"/>
        </w:rPr>
        <w:t xml:space="preserve"> </w:t>
      </w:r>
      <w:r w:rsidR="001D111D" w:rsidRPr="007400CD">
        <w:rPr>
          <w:rFonts w:cs="Frutiger-Roman"/>
          <w:sz w:val="24"/>
          <w:szCs w:val="24"/>
        </w:rPr>
        <w:t>in June 2013</w:t>
      </w:r>
      <w:r w:rsidR="00F67C75">
        <w:rPr>
          <w:rFonts w:cs="Frutiger-Roman"/>
          <w:sz w:val="24"/>
          <w:szCs w:val="24"/>
        </w:rPr>
        <w:t xml:space="preserve"> </w:t>
      </w:r>
      <w:r w:rsidR="004B1F92">
        <w:rPr>
          <w:rFonts w:cs="Frutiger-Roman"/>
          <w:sz w:val="24"/>
          <w:szCs w:val="24"/>
        </w:rPr>
        <w:t xml:space="preserve">revealed the first </w:t>
      </w:r>
      <w:r w:rsidR="00E05B4B" w:rsidRPr="003F161E">
        <w:rPr>
          <w:rFonts w:cs="Frutiger-Roman"/>
          <w:sz w:val="24"/>
          <w:szCs w:val="24"/>
        </w:rPr>
        <w:t xml:space="preserve">evidence </w:t>
      </w:r>
      <w:r>
        <w:rPr>
          <w:rFonts w:cs="Frutiger-Roman"/>
          <w:sz w:val="24"/>
          <w:szCs w:val="24"/>
        </w:rPr>
        <w:t>of</w:t>
      </w:r>
      <w:r w:rsidRPr="003F161E">
        <w:rPr>
          <w:rFonts w:cs="Frutiger-Roman"/>
          <w:sz w:val="24"/>
          <w:szCs w:val="24"/>
        </w:rPr>
        <w:t xml:space="preserve"> </w:t>
      </w:r>
      <w:r w:rsidR="00E05B4B" w:rsidRPr="003F161E">
        <w:rPr>
          <w:rFonts w:cs="Frutiger-Roman"/>
          <w:sz w:val="24"/>
          <w:szCs w:val="24"/>
        </w:rPr>
        <w:t xml:space="preserve">PrEP </w:t>
      </w:r>
      <w:r>
        <w:rPr>
          <w:rFonts w:cs="Frutiger-Roman"/>
          <w:sz w:val="24"/>
          <w:szCs w:val="24"/>
        </w:rPr>
        <w:t xml:space="preserve">efficacy among </w:t>
      </w:r>
      <w:r w:rsidR="00FB782A">
        <w:rPr>
          <w:rFonts w:cs="Frutiger-Roman"/>
          <w:sz w:val="24"/>
          <w:szCs w:val="24"/>
        </w:rPr>
        <w:t>injection drug users</w:t>
      </w:r>
      <w:r>
        <w:rPr>
          <w:rFonts w:cs="Frutiger-Roman"/>
          <w:sz w:val="24"/>
          <w:szCs w:val="24"/>
        </w:rPr>
        <w:t xml:space="preserve"> </w:t>
      </w:r>
      <w:r w:rsidR="006332A5">
        <w:rPr>
          <w:rFonts w:cs="Frutiger-Roman"/>
          <w:sz w:val="24"/>
          <w:szCs w:val="24"/>
        </w:rPr>
        <w:t>and generated</w:t>
      </w:r>
      <w:r>
        <w:rPr>
          <w:rFonts w:cs="Frutiger-Roman"/>
          <w:sz w:val="24"/>
          <w:szCs w:val="24"/>
        </w:rPr>
        <w:t xml:space="preserve"> global excitement</w:t>
      </w:r>
      <w:r w:rsidR="00E05B4B" w:rsidRPr="003F161E">
        <w:rPr>
          <w:rFonts w:cs="Frutiger-Roman"/>
          <w:sz w:val="24"/>
          <w:szCs w:val="24"/>
        </w:rPr>
        <w:t>.</w:t>
      </w:r>
      <w:r w:rsidR="00E05B4B" w:rsidRPr="001F0705">
        <w:rPr>
          <w:rFonts w:cs="Frutiger-Roman"/>
          <w:sz w:val="24"/>
          <w:szCs w:val="24"/>
        </w:rPr>
        <w:t xml:space="preserve"> </w:t>
      </w:r>
      <w:r w:rsidR="00C74AA1" w:rsidRPr="001F0705">
        <w:rPr>
          <w:rFonts w:cs="Frutiger-Roman"/>
          <w:sz w:val="24"/>
          <w:szCs w:val="24"/>
        </w:rPr>
        <w:t>Researchers confirmed that</w:t>
      </w:r>
      <w:r w:rsidR="00020E0E" w:rsidRPr="001F0705">
        <w:rPr>
          <w:rFonts w:cs="Frutiger-Roman"/>
          <w:sz w:val="24"/>
          <w:szCs w:val="24"/>
        </w:rPr>
        <w:t xml:space="preserve"> trial participants </w:t>
      </w:r>
      <w:r w:rsidR="00C74AA1" w:rsidRPr="001F0705">
        <w:rPr>
          <w:rFonts w:cs="Frutiger-Roman"/>
          <w:sz w:val="24"/>
          <w:szCs w:val="24"/>
        </w:rPr>
        <w:t>would</w:t>
      </w:r>
      <w:r w:rsidR="00020E0E" w:rsidRPr="001F0705">
        <w:rPr>
          <w:rFonts w:cs="Frutiger-Roman"/>
          <w:sz w:val="24"/>
          <w:szCs w:val="24"/>
        </w:rPr>
        <w:t xml:space="preserve"> be offered access to PrEP for one year as part of a follow-on </w:t>
      </w:r>
      <w:r w:rsidR="00155C4D" w:rsidRPr="001F0705">
        <w:rPr>
          <w:rFonts w:cs="Frutiger-Roman"/>
          <w:sz w:val="24"/>
          <w:szCs w:val="24"/>
        </w:rPr>
        <w:t>trial</w:t>
      </w:r>
      <w:r>
        <w:rPr>
          <w:rFonts w:cs="Frutiger-Roman"/>
          <w:sz w:val="24"/>
          <w:szCs w:val="24"/>
        </w:rPr>
        <w:t xml:space="preserve"> </w:t>
      </w:r>
      <w:r w:rsidR="00F67C75">
        <w:rPr>
          <w:rFonts w:cs="Frutiger-Roman"/>
          <w:sz w:val="24"/>
          <w:szCs w:val="24"/>
        </w:rPr>
        <w:t>to</w:t>
      </w:r>
      <w:r w:rsidR="00020E0E" w:rsidRPr="001F0705">
        <w:rPr>
          <w:rFonts w:cs="Frutiger-Roman"/>
          <w:sz w:val="24"/>
          <w:szCs w:val="24"/>
        </w:rPr>
        <w:t xml:space="preserve"> assess </w:t>
      </w:r>
      <w:r w:rsidR="00F67C75">
        <w:rPr>
          <w:rFonts w:cs="Frutiger-Roman"/>
          <w:sz w:val="24"/>
          <w:szCs w:val="24"/>
        </w:rPr>
        <w:t xml:space="preserve">PrEP </w:t>
      </w:r>
      <w:r w:rsidR="00020E0E" w:rsidRPr="001F0705">
        <w:rPr>
          <w:rFonts w:cs="Frutiger-Roman"/>
          <w:sz w:val="24"/>
          <w:szCs w:val="24"/>
        </w:rPr>
        <w:t xml:space="preserve">use and effectiveness outside of a </w:t>
      </w:r>
      <w:r>
        <w:rPr>
          <w:rFonts w:cs="Frutiger-Roman"/>
          <w:sz w:val="24"/>
          <w:szCs w:val="24"/>
        </w:rPr>
        <w:t xml:space="preserve">randomized, blinded </w:t>
      </w:r>
      <w:r w:rsidR="00020E0E" w:rsidRPr="001F0705">
        <w:rPr>
          <w:rFonts w:cs="Frutiger-Roman"/>
          <w:sz w:val="24"/>
          <w:szCs w:val="24"/>
        </w:rPr>
        <w:t xml:space="preserve">trial. CDC </w:t>
      </w:r>
      <w:r>
        <w:rPr>
          <w:rFonts w:cs="Frutiger-Roman"/>
          <w:sz w:val="24"/>
          <w:szCs w:val="24"/>
        </w:rPr>
        <w:t>pledged</w:t>
      </w:r>
      <w:r w:rsidR="00020E0E" w:rsidRPr="001F0705">
        <w:rPr>
          <w:rFonts w:cs="Frutiger-Roman"/>
          <w:sz w:val="24"/>
          <w:szCs w:val="24"/>
        </w:rPr>
        <w:t xml:space="preserve"> support </w:t>
      </w:r>
      <w:r>
        <w:rPr>
          <w:rFonts w:cs="Frutiger-Roman"/>
          <w:sz w:val="24"/>
          <w:szCs w:val="24"/>
        </w:rPr>
        <w:t xml:space="preserve">to </w:t>
      </w:r>
      <w:r w:rsidR="00FB782A">
        <w:rPr>
          <w:rFonts w:cs="Frutiger-Roman"/>
          <w:sz w:val="24"/>
          <w:szCs w:val="24"/>
        </w:rPr>
        <w:t xml:space="preserve">the </w:t>
      </w:r>
      <w:r w:rsidR="00FB782A" w:rsidRPr="001F0705">
        <w:rPr>
          <w:rFonts w:cs="Frutiger-Roman"/>
          <w:sz w:val="24"/>
          <w:szCs w:val="24"/>
        </w:rPr>
        <w:t>Bangkok Metropolitan Administration and the Thailand Mi</w:t>
      </w:r>
      <w:r w:rsidR="00FB782A">
        <w:rPr>
          <w:rFonts w:cs="Frutiger-Roman"/>
          <w:sz w:val="24"/>
          <w:szCs w:val="24"/>
        </w:rPr>
        <w:t xml:space="preserve">nistry of Public Health </w:t>
      </w:r>
      <w:r w:rsidR="006332A5">
        <w:rPr>
          <w:rFonts w:cs="Frutiger-Roman"/>
          <w:sz w:val="24"/>
          <w:szCs w:val="24"/>
        </w:rPr>
        <w:t>to determine</w:t>
      </w:r>
      <w:r w:rsidR="00020E0E" w:rsidRPr="001F0705">
        <w:rPr>
          <w:rFonts w:cs="Frutiger-Roman"/>
          <w:sz w:val="24"/>
          <w:szCs w:val="24"/>
        </w:rPr>
        <w:t xml:space="preserve"> how best </w:t>
      </w:r>
      <w:r w:rsidR="006332A5">
        <w:rPr>
          <w:rFonts w:cs="Frutiger-Roman"/>
          <w:sz w:val="24"/>
          <w:szCs w:val="24"/>
        </w:rPr>
        <w:t xml:space="preserve">to </w:t>
      </w:r>
      <w:r w:rsidR="00020E0E" w:rsidRPr="001F0705">
        <w:rPr>
          <w:rFonts w:cs="Frutiger-Roman"/>
          <w:sz w:val="24"/>
          <w:szCs w:val="24"/>
        </w:rPr>
        <w:t xml:space="preserve">incorporate PrEP into </w:t>
      </w:r>
      <w:r w:rsidR="006332A5">
        <w:rPr>
          <w:rFonts w:cs="Frutiger-Roman"/>
          <w:sz w:val="24"/>
          <w:szCs w:val="24"/>
        </w:rPr>
        <w:t xml:space="preserve">local </w:t>
      </w:r>
      <w:r w:rsidR="00020E0E" w:rsidRPr="001F0705">
        <w:rPr>
          <w:rFonts w:cs="Frutiger-Roman"/>
          <w:sz w:val="24"/>
          <w:szCs w:val="24"/>
        </w:rPr>
        <w:t xml:space="preserve">HIV prevention efforts. </w:t>
      </w:r>
    </w:p>
    <w:p w14:paraId="667FDDE8" w14:textId="77777777" w:rsidR="009358FF" w:rsidRPr="001F0705" w:rsidRDefault="009358FF" w:rsidP="00CE4962">
      <w:pPr>
        <w:autoSpaceDE w:val="0"/>
        <w:autoSpaceDN w:val="0"/>
        <w:adjustRightInd w:val="0"/>
        <w:spacing w:after="0" w:line="240" w:lineRule="auto"/>
        <w:rPr>
          <w:rFonts w:cs="Frutiger-Roman"/>
          <w:sz w:val="24"/>
          <w:szCs w:val="24"/>
        </w:rPr>
      </w:pPr>
    </w:p>
    <w:p w14:paraId="5F8EA66C" w14:textId="457580BC" w:rsidR="00C74AA1" w:rsidRDefault="00C74AA1" w:rsidP="00C74AA1">
      <w:pPr>
        <w:autoSpaceDE w:val="0"/>
        <w:autoSpaceDN w:val="0"/>
        <w:adjustRightInd w:val="0"/>
        <w:spacing w:after="0" w:line="240" w:lineRule="auto"/>
        <w:rPr>
          <w:rFonts w:cs="Frutiger-Roman"/>
          <w:sz w:val="24"/>
          <w:szCs w:val="24"/>
        </w:rPr>
      </w:pPr>
      <w:r w:rsidRPr="00F1600D">
        <w:rPr>
          <w:rFonts w:cs="Frutiger-Roman"/>
          <w:sz w:val="24"/>
          <w:szCs w:val="24"/>
        </w:rPr>
        <w:t>Not</w:t>
      </w:r>
      <w:r w:rsidRPr="007400CD">
        <w:rPr>
          <w:rFonts w:cs="Frutiger-Roman"/>
          <w:sz w:val="24"/>
          <w:szCs w:val="24"/>
        </w:rPr>
        <w:t xml:space="preserve"> mentioned</w:t>
      </w:r>
      <w:r w:rsidR="009054AC">
        <w:rPr>
          <w:rFonts w:cs="Frutiger-Roman"/>
          <w:sz w:val="24"/>
          <w:szCs w:val="24"/>
        </w:rPr>
        <w:t xml:space="preserve"> as part of the official results dissemination</w:t>
      </w:r>
      <w:r w:rsidRPr="007400CD">
        <w:rPr>
          <w:rFonts w:cs="Frutiger-Roman"/>
          <w:sz w:val="24"/>
          <w:szCs w:val="24"/>
        </w:rPr>
        <w:t xml:space="preserve">, however, were the concerns </w:t>
      </w:r>
      <w:r w:rsidR="009358FF">
        <w:rPr>
          <w:rFonts w:cs="Frutiger-Roman"/>
          <w:sz w:val="24"/>
          <w:szCs w:val="24"/>
        </w:rPr>
        <w:t xml:space="preserve">raised by stakeholders </w:t>
      </w:r>
      <w:r w:rsidR="009F077B">
        <w:rPr>
          <w:rFonts w:cs="Frutiger-Roman"/>
          <w:sz w:val="24"/>
          <w:szCs w:val="24"/>
        </w:rPr>
        <w:t xml:space="preserve">through the course of the trial. Some </w:t>
      </w:r>
      <w:bookmarkStart w:id="0" w:name="_GoBack"/>
      <w:bookmarkEnd w:id="0"/>
      <w:r w:rsidR="009054AC">
        <w:rPr>
          <w:rFonts w:cs="Frutiger-Roman"/>
          <w:sz w:val="24"/>
          <w:szCs w:val="24"/>
        </w:rPr>
        <w:t>advocates and other researchers also debated</w:t>
      </w:r>
      <w:r w:rsidR="009F077B">
        <w:rPr>
          <w:rFonts w:cs="Frutiger-Roman"/>
          <w:sz w:val="24"/>
          <w:szCs w:val="24"/>
        </w:rPr>
        <w:t xml:space="preserve"> the legitimacy of </w:t>
      </w:r>
      <w:r w:rsidR="009054AC">
        <w:rPr>
          <w:rFonts w:cs="Frutiger-Roman"/>
          <w:sz w:val="24"/>
          <w:szCs w:val="24"/>
        </w:rPr>
        <w:t xml:space="preserve">the </w:t>
      </w:r>
      <w:r w:rsidR="009F077B">
        <w:rPr>
          <w:rFonts w:cs="Frutiger-Roman"/>
          <w:sz w:val="24"/>
          <w:szCs w:val="24"/>
        </w:rPr>
        <w:t>trial data, given the prevention package offered to participants. Th</w:t>
      </w:r>
      <w:r w:rsidR="009054AC">
        <w:rPr>
          <w:rFonts w:cs="Frutiger-Roman"/>
          <w:sz w:val="24"/>
          <w:szCs w:val="24"/>
        </w:rPr>
        <w:t xml:space="preserve">e </w:t>
      </w:r>
      <w:r w:rsidR="009F077B">
        <w:rPr>
          <w:rFonts w:cs="Frutiger-Roman"/>
          <w:sz w:val="24"/>
          <w:szCs w:val="24"/>
        </w:rPr>
        <w:t>lack of resolution left a rift between civil society and research entities, with uncertainty about stakeholder support for future steps with PrEP research and potential rollout in Thailand.</w:t>
      </w:r>
    </w:p>
    <w:p w14:paraId="3101EE25" w14:textId="77777777" w:rsidR="00147AA9" w:rsidRDefault="00147AA9" w:rsidP="00861EA5">
      <w:pPr>
        <w:autoSpaceDE w:val="0"/>
        <w:autoSpaceDN w:val="0"/>
        <w:adjustRightInd w:val="0"/>
        <w:spacing w:after="0" w:line="240" w:lineRule="auto"/>
        <w:rPr>
          <w:rFonts w:cs="Frutiger-Roman"/>
          <w:b/>
          <w:sz w:val="24"/>
          <w:szCs w:val="24"/>
        </w:rPr>
      </w:pPr>
    </w:p>
    <w:p w14:paraId="20271176" w14:textId="77777777" w:rsidR="008009F9" w:rsidRDefault="008009F9" w:rsidP="008009F9">
      <w:pPr>
        <w:autoSpaceDE w:val="0"/>
        <w:autoSpaceDN w:val="0"/>
        <w:adjustRightInd w:val="0"/>
        <w:spacing w:after="0" w:line="240" w:lineRule="auto"/>
        <w:rPr>
          <w:rFonts w:cs="Frutiger-Roman"/>
          <w:sz w:val="24"/>
          <w:szCs w:val="24"/>
        </w:rPr>
      </w:pPr>
    </w:p>
    <w:p w14:paraId="42AB3B8C" w14:textId="4BCBE914" w:rsidR="00E10A16" w:rsidRPr="001143FD" w:rsidRDefault="00E10A16" w:rsidP="001143FD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</w:p>
    <w:sectPr w:rsidR="00E10A16" w:rsidRPr="001143FD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A71D" w14:textId="77777777" w:rsidR="00FB782A" w:rsidRDefault="00FB782A" w:rsidP="004C77E0">
      <w:pPr>
        <w:spacing w:after="0" w:line="240" w:lineRule="auto"/>
      </w:pPr>
      <w:r>
        <w:separator/>
      </w:r>
    </w:p>
  </w:endnote>
  <w:endnote w:type="continuationSeparator" w:id="0">
    <w:p w14:paraId="171B976A" w14:textId="77777777" w:rsidR="00FB782A" w:rsidRDefault="00FB782A" w:rsidP="004C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6AEED" w14:textId="77777777" w:rsidR="00FB782A" w:rsidRDefault="00FB782A" w:rsidP="004C77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91B607" w14:textId="77777777" w:rsidR="00FB782A" w:rsidRDefault="00FB782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5D84E" w14:textId="77777777" w:rsidR="00FB782A" w:rsidRDefault="00FB782A" w:rsidP="004C77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6B9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97FF55" w14:textId="77777777" w:rsidR="00FB782A" w:rsidRDefault="00FB782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2DD69" w14:textId="77777777" w:rsidR="00FB782A" w:rsidRDefault="00FB782A" w:rsidP="004C77E0">
      <w:pPr>
        <w:spacing w:after="0" w:line="240" w:lineRule="auto"/>
      </w:pPr>
      <w:r>
        <w:separator/>
      </w:r>
    </w:p>
  </w:footnote>
  <w:footnote w:type="continuationSeparator" w:id="0">
    <w:p w14:paraId="54A0C50C" w14:textId="77777777" w:rsidR="00FB782A" w:rsidRDefault="00FB782A" w:rsidP="004C7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10505DC"/>
    <w:multiLevelType w:val="hybridMultilevel"/>
    <w:tmpl w:val="CEA88364"/>
    <w:lvl w:ilvl="0" w:tplc="07C0C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6D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AA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0C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CD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26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48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89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C5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6B0D79"/>
    <w:multiLevelType w:val="hybridMultilevel"/>
    <w:tmpl w:val="F44A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96088"/>
    <w:multiLevelType w:val="hybridMultilevel"/>
    <w:tmpl w:val="189A1250"/>
    <w:lvl w:ilvl="0" w:tplc="00C6F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A3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41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65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E8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87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8B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E6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A8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2811E3"/>
    <w:multiLevelType w:val="hybridMultilevel"/>
    <w:tmpl w:val="B3AEB436"/>
    <w:lvl w:ilvl="0" w:tplc="1144E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CB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C5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41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85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04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49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CE4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8D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D3576C6"/>
    <w:multiLevelType w:val="hybridMultilevel"/>
    <w:tmpl w:val="DD32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 Hannah">
    <w15:presenceInfo w15:providerId="AD" w15:userId="S-1-5-21-1164796998-425059385-3021887889-1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A5"/>
    <w:rsid w:val="000031BC"/>
    <w:rsid w:val="00020E0E"/>
    <w:rsid w:val="00085F3F"/>
    <w:rsid w:val="000B366B"/>
    <w:rsid w:val="000C4F03"/>
    <w:rsid w:val="000E46EC"/>
    <w:rsid w:val="000F4892"/>
    <w:rsid w:val="001143FD"/>
    <w:rsid w:val="0013208C"/>
    <w:rsid w:val="00147AA9"/>
    <w:rsid w:val="00155C4D"/>
    <w:rsid w:val="0015613B"/>
    <w:rsid w:val="0019656B"/>
    <w:rsid w:val="001D111D"/>
    <w:rsid w:val="001F0705"/>
    <w:rsid w:val="00207F98"/>
    <w:rsid w:val="0023637E"/>
    <w:rsid w:val="002467CF"/>
    <w:rsid w:val="00246F1F"/>
    <w:rsid w:val="002577BE"/>
    <w:rsid w:val="002902E6"/>
    <w:rsid w:val="002A4DB1"/>
    <w:rsid w:val="002B2AC4"/>
    <w:rsid w:val="002B454E"/>
    <w:rsid w:val="002C59D2"/>
    <w:rsid w:val="0033422E"/>
    <w:rsid w:val="003474DD"/>
    <w:rsid w:val="00363E1E"/>
    <w:rsid w:val="00366896"/>
    <w:rsid w:val="003679C5"/>
    <w:rsid w:val="00385BD3"/>
    <w:rsid w:val="00395CB5"/>
    <w:rsid w:val="003B7633"/>
    <w:rsid w:val="003D0DC4"/>
    <w:rsid w:val="003D6BC3"/>
    <w:rsid w:val="003F161E"/>
    <w:rsid w:val="004156F2"/>
    <w:rsid w:val="00435DBE"/>
    <w:rsid w:val="0045332E"/>
    <w:rsid w:val="0048662E"/>
    <w:rsid w:val="004B1F92"/>
    <w:rsid w:val="004C2705"/>
    <w:rsid w:val="004C77E0"/>
    <w:rsid w:val="00512A17"/>
    <w:rsid w:val="00513F2A"/>
    <w:rsid w:val="00525C6B"/>
    <w:rsid w:val="0056462E"/>
    <w:rsid w:val="005A794D"/>
    <w:rsid w:val="005D456F"/>
    <w:rsid w:val="00626861"/>
    <w:rsid w:val="006332A5"/>
    <w:rsid w:val="0066323F"/>
    <w:rsid w:val="006E20BC"/>
    <w:rsid w:val="006F20E7"/>
    <w:rsid w:val="006F4EFF"/>
    <w:rsid w:val="006F559E"/>
    <w:rsid w:val="007022D7"/>
    <w:rsid w:val="00704585"/>
    <w:rsid w:val="00714C5B"/>
    <w:rsid w:val="007400CD"/>
    <w:rsid w:val="00751A53"/>
    <w:rsid w:val="007579AA"/>
    <w:rsid w:val="007737FC"/>
    <w:rsid w:val="007C3B12"/>
    <w:rsid w:val="007C6E4E"/>
    <w:rsid w:val="007C6E6E"/>
    <w:rsid w:val="007E64AF"/>
    <w:rsid w:val="008009F9"/>
    <w:rsid w:val="0081186E"/>
    <w:rsid w:val="00815C11"/>
    <w:rsid w:val="0082257C"/>
    <w:rsid w:val="00843E9A"/>
    <w:rsid w:val="00861EA5"/>
    <w:rsid w:val="00864F0C"/>
    <w:rsid w:val="008C0746"/>
    <w:rsid w:val="008C2A9B"/>
    <w:rsid w:val="009004B3"/>
    <w:rsid w:val="009054AC"/>
    <w:rsid w:val="009232C0"/>
    <w:rsid w:val="00925152"/>
    <w:rsid w:val="009358FF"/>
    <w:rsid w:val="009753AB"/>
    <w:rsid w:val="00994A68"/>
    <w:rsid w:val="00995E4C"/>
    <w:rsid w:val="009E5394"/>
    <w:rsid w:val="009E6415"/>
    <w:rsid w:val="009F077B"/>
    <w:rsid w:val="00A1461D"/>
    <w:rsid w:val="00A17AE2"/>
    <w:rsid w:val="00A42EBA"/>
    <w:rsid w:val="00A66BEB"/>
    <w:rsid w:val="00A8619D"/>
    <w:rsid w:val="00AA2E1A"/>
    <w:rsid w:val="00AB0888"/>
    <w:rsid w:val="00B15F1E"/>
    <w:rsid w:val="00B241B0"/>
    <w:rsid w:val="00B649C7"/>
    <w:rsid w:val="00B9394D"/>
    <w:rsid w:val="00BA4AE3"/>
    <w:rsid w:val="00BC5BBE"/>
    <w:rsid w:val="00C00543"/>
    <w:rsid w:val="00C25EB5"/>
    <w:rsid w:val="00C4234E"/>
    <w:rsid w:val="00C566D0"/>
    <w:rsid w:val="00C74AA1"/>
    <w:rsid w:val="00C7691F"/>
    <w:rsid w:val="00CB79D8"/>
    <w:rsid w:val="00CC7166"/>
    <w:rsid w:val="00CD6653"/>
    <w:rsid w:val="00CE4962"/>
    <w:rsid w:val="00D01B1D"/>
    <w:rsid w:val="00D13177"/>
    <w:rsid w:val="00D13C19"/>
    <w:rsid w:val="00D25826"/>
    <w:rsid w:val="00D32BAE"/>
    <w:rsid w:val="00D43AE3"/>
    <w:rsid w:val="00D523D4"/>
    <w:rsid w:val="00D526CC"/>
    <w:rsid w:val="00D53E89"/>
    <w:rsid w:val="00D654BE"/>
    <w:rsid w:val="00DB3597"/>
    <w:rsid w:val="00DB6E4F"/>
    <w:rsid w:val="00DD3516"/>
    <w:rsid w:val="00DE296B"/>
    <w:rsid w:val="00E05B4B"/>
    <w:rsid w:val="00E10A16"/>
    <w:rsid w:val="00E312A6"/>
    <w:rsid w:val="00E34394"/>
    <w:rsid w:val="00E354CA"/>
    <w:rsid w:val="00E63931"/>
    <w:rsid w:val="00E720F9"/>
    <w:rsid w:val="00E84650"/>
    <w:rsid w:val="00E8645F"/>
    <w:rsid w:val="00E96A31"/>
    <w:rsid w:val="00EA275D"/>
    <w:rsid w:val="00EB5D56"/>
    <w:rsid w:val="00EE6B93"/>
    <w:rsid w:val="00EE6FC0"/>
    <w:rsid w:val="00F1600D"/>
    <w:rsid w:val="00F16093"/>
    <w:rsid w:val="00F23E1D"/>
    <w:rsid w:val="00F67C75"/>
    <w:rsid w:val="00F742C5"/>
    <w:rsid w:val="00F75514"/>
    <w:rsid w:val="00F973A8"/>
    <w:rsid w:val="00FB782A"/>
    <w:rsid w:val="00FD71BA"/>
    <w:rsid w:val="00FD745C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D1B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A1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C77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7E0"/>
  </w:style>
  <w:style w:type="character" w:styleId="PageNumber">
    <w:name w:val="page number"/>
    <w:basedOn w:val="DefaultParagraphFont"/>
    <w:uiPriority w:val="99"/>
    <w:semiHidden/>
    <w:unhideWhenUsed/>
    <w:rsid w:val="004C77E0"/>
  </w:style>
  <w:style w:type="paragraph" w:styleId="BalloonText">
    <w:name w:val="Balloon Text"/>
    <w:basedOn w:val="Normal"/>
    <w:link w:val="BalloonTextChar"/>
    <w:uiPriority w:val="99"/>
    <w:semiHidden/>
    <w:unhideWhenUsed/>
    <w:rsid w:val="004B1F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9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26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6C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6C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6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6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60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A1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C77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7E0"/>
  </w:style>
  <w:style w:type="character" w:styleId="PageNumber">
    <w:name w:val="page number"/>
    <w:basedOn w:val="DefaultParagraphFont"/>
    <w:uiPriority w:val="99"/>
    <w:semiHidden/>
    <w:unhideWhenUsed/>
    <w:rsid w:val="004C77E0"/>
  </w:style>
  <w:style w:type="paragraph" w:styleId="BalloonText">
    <w:name w:val="Balloon Text"/>
    <w:basedOn w:val="Normal"/>
    <w:link w:val="BalloonTextChar"/>
    <w:uiPriority w:val="99"/>
    <w:semiHidden/>
    <w:unhideWhenUsed/>
    <w:rsid w:val="004B1F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9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26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6C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6C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6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6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6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1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74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7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CBA1FA-59D1-764A-A7F4-AD32A5B0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508</Words>
  <Characters>2900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Schley</dc:creator>
  <cp:lastModifiedBy>Anne Schley</cp:lastModifiedBy>
  <cp:revision>4</cp:revision>
  <dcterms:created xsi:type="dcterms:W3CDTF">2014-10-24T13:24:00Z</dcterms:created>
  <dcterms:modified xsi:type="dcterms:W3CDTF">2014-10-24T13:32:00Z</dcterms:modified>
</cp:coreProperties>
</file>